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480" w:lineRule="auto"/>
        <w:jc w:val="cente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u w:val="single"/>
          <w:rtl w:val="0"/>
        </w:rPr>
        <w:t xml:space="preserve">Learning from the Past: A Plan for International AI Coordination</w:t>
      </w:r>
    </w:p>
    <w:p w:rsidR="00000000" w:rsidDel="00000000" w:rsidP="00000000" w:rsidRDefault="00000000" w:rsidRPr="00000000" w14:paraId="00000002">
      <w:pPr>
        <w:pStyle w:val="Heading1"/>
        <w:numPr>
          <w:ilvl w:val="0"/>
          <w:numId w:val="1"/>
        </w:numPr>
        <w:spacing w:after="0" w:before="0" w:line="480" w:lineRule="auto"/>
        <w:ind w:left="720" w:hanging="360"/>
        <w:rPr>
          <w:rFonts w:ascii="Times New Roman" w:cs="Times New Roman" w:eastAsia="Times New Roman" w:hAnsi="Times New Roman"/>
          <w:b w:val="1"/>
          <w:bCs w:val="1"/>
          <w:sz w:val="24"/>
          <w:szCs w:val="24"/>
        </w:rPr>
      </w:pPr>
      <w:bookmarkStart w:colFirst="0" w:colLast="0" w:name="_nfeung2cmbcv" w:id="0"/>
      <w:bookmarkEnd w:id="0"/>
      <w:r w:rsidDel="00000000" w:rsidR="00000000" w:rsidRPr="00000000">
        <w:rPr>
          <w:rFonts w:ascii="Times New Roman" w:cs="Times New Roman" w:eastAsia="Times New Roman" w:hAnsi="Times New Roman"/>
          <w:b w:val="1"/>
          <w:bCs w:val="1"/>
          <w:sz w:val="24"/>
          <w:szCs w:val="24"/>
          <w:rtl w:val="0"/>
        </w:rPr>
        <w:t xml:space="preserve">Introduction</w:t>
      </w:r>
    </w:p>
    <w:p w:rsidR="00000000" w:rsidDel="00000000" w:rsidP="00000000" w:rsidRDefault="00000000" w:rsidRPr="00000000" w14:paraId="00000003">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Artificial intelligence (AI) is a discipline of computer science focused on developing machines that can mimic human intelligence and autonomously achieve complex goals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Fonts w:ascii="Times New Roman" w:cs="Times New Roman" w:eastAsia="Times New Roman" w:hAnsi="Times New Roman"/>
          <w:sz w:val="24"/>
          <w:szCs w:val="24"/>
          <w:rtl w:val="0"/>
        </w:rPr>
        <w:t xml:space="preserve"> AI technologies use methods like machine learning, natural language processing, and computer vision to enable systems that can perceive environments, analyze data, and make increasingly sophisticated decisions.</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AI’s rapid evolution demands a reevaluation of our approach to innovation. As these systems become more complex and integral to various sectors—from healthcare and finance to transportation—the potential for both extraordinary benefits and significant risks has become increasingly clear.</w:t>
      </w:r>
    </w:p>
    <w:p w:rsidR="00000000" w:rsidDel="00000000" w:rsidP="00000000" w:rsidRDefault="00000000" w:rsidRPr="00000000" w14:paraId="00000004">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robust international framework for AI regulation is essential for mitigating risks and ensuring AI aligns with humanity’s best interests. This paper analyzes historical international agreements—such as The Treaty on the Non-Proliferation of Nuclear Weapons, Montreal Protocol, Tallinn Manual, Artemis Accords, and the Universal Declaration on the Human Genome—looking at signatories, government and private involvement, perceived danger of the technology at the time, enforcement, and efficacy. I then draw out key features and governance strategies that can inform AI regulation. These case studies highlight the need for enforceable commitments, adaptable regulations, and a balance between national control and international oversight. Based on these lessons, this paper proposes a staged approach to AI regulation, beginning with non-binding guidelines and international coordination, progressing toward binding agreements on high-risk AI applications, and culminating in the establishment of a global AI governance body. This phased strategy ensures that AI regulation remains adaptable, enforceable, and aligned with technological advancements while addressing national incentives and enforcement challenges.</w:t>
      </w:r>
    </w:p>
    <w:p w:rsidR="00000000" w:rsidDel="00000000" w:rsidP="00000000" w:rsidRDefault="00000000" w:rsidRPr="00000000" w14:paraId="00000005">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vmbd9a6sog13" w:id="1"/>
      <w:bookmarkEnd w:id="1"/>
      <w:r w:rsidDel="00000000" w:rsidR="00000000" w:rsidRPr="00000000">
        <w:rPr>
          <w:rFonts w:ascii="Times New Roman" w:cs="Times New Roman" w:eastAsia="Times New Roman" w:hAnsi="Times New Roman"/>
          <w:sz w:val="24"/>
          <w:szCs w:val="24"/>
          <w:rtl w:val="0"/>
        </w:rPr>
        <w:t xml:space="preserve">What is AI and AGI</w:t>
      </w:r>
    </w:p>
    <w:p w:rsidR="00000000" w:rsidDel="00000000" w:rsidP="00000000" w:rsidRDefault="00000000" w:rsidRPr="00000000" w14:paraId="00000006">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Many companies today are focused on developing what is often called “narrow AI” — programs that demonstrate intelligence in one specialized area, such as chess-playing, medical diagnosis, automobile driving, or mathematical theorem-proving. Another focus in AI research is the development of artificial general intelligence (AGI), which aims to match or surpass human intelligence across a wide range of tasks.</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t xml:space="preserve"> Among experts, there is debate on how to define AGI. As early as the 1950s, Alan Turing, a British mathematician, said that talking to a model that had achieved AGI would be indistinguishable from talking to a human.</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Fonts w:ascii="Times New Roman" w:cs="Times New Roman" w:eastAsia="Times New Roman" w:hAnsi="Times New Roman"/>
          <w:sz w:val="24"/>
          <w:szCs w:val="24"/>
          <w:rtl w:val="0"/>
        </w:rPr>
        <w:t xml:space="preserve"> Mustafa Suleyman, co-founder of DeepMind, an AI-research firm now under Google, has created his own “modern Turing test.” He believes that AGI will have been reached when a model is given $100,000 and turns it into $1 million without instruction.</w:t>
      </w:r>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Fonts w:ascii="Times New Roman" w:cs="Times New Roman" w:eastAsia="Times New Roman" w:hAnsi="Times New Roman"/>
          <w:sz w:val="24"/>
          <w:szCs w:val="24"/>
          <w:rtl w:val="0"/>
        </w:rPr>
        <w:t xml:space="preserve"> However, broadly speaking, AGI means artificial intelligence that matches (or outmatches) humans on a range of tasks.</w:t>
      </w:r>
      <w:r w:rsidDel="00000000" w:rsidR="00000000" w:rsidRPr="00000000">
        <w:rPr>
          <w:rFonts w:ascii="Times New Roman" w:cs="Times New Roman" w:eastAsia="Times New Roman" w:hAnsi="Times New Roman"/>
          <w:sz w:val="24"/>
          <w:szCs w:val="24"/>
          <w:vertAlign w:val="superscript"/>
        </w:rPr>
        <w:footnoteReference w:customMarkFollows="0" w:id="5"/>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7">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ex2bk016qy79" w:id="2"/>
      <w:bookmarkEnd w:id="2"/>
      <w:r w:rsidDel="00000000" w:rsidR="00000000" w:rsidRPr="00000000">
        <w:rPr>
          <w:rFonts w:ascii="Times New Roman" w:cs="Times New Roman" w:eastAsia="Times New Roman" w:hAnsi="Times New Roman"/>
          <w:color w:val="000000"/>
          <w:sz w:val="24"/>
          <w:szCs w:val="24"/>
          <w:rtl w:val="0"/>
        </w:rPr>
        <w:t xml:space="preserve">LLMs and AGI</w:t>
      </w:r>
    </w:p>
    <w:p w:rsidR="00000000" w:rsidDel="00000000" w:rsidP="00000000" w:rsidRDefault="00000000" w:rsidRPr="00000000" w14:paraId="00000008">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Large language models (LLMs) are AI systems that leverage extensive training data to comprehend and generate human-like text across diverse domains. These models can parse contextual nuances, translate languages, summarize complex information, and perform tasks ranging from conversational interactions to creative writing and software development. By converting language into numeric embeddings and analyzing probabilistic word sequences, LLMs capture and recreate intricate linguistic patterns.</w:t>
      </w:r>
      <w:r w:rsidDel="00000000" w:rsidR="00000000" w:rsidRPr="00000000">
        <w:rPr>
          <w:rFonts w:ascii="Times New Roman" w:cs="Times New Roman" w:eastAsia="Times New Roman" w:hAnsi="Times New Roman"/>
          <w:sz w:val="24"/>
          <w:szCs w:val="24"/>
          <w:vertAlign w:val="superscript"/>
        </w:rPr>
        <w:footnoteReference w:customMarkFollows="0" w:id="6"/>
      </w:r>
      <w:r w:rsidDel="00000000" w:rsidR="00000000" w:rsidRPr="00000000">
        <w:rPr>
          <w:rtl w:val="0"/>
        </w:rPr>
      </w:r>
    </w:p>
    <w:p w:rsidR="00000000" w:rsidDel="00000000" w:rsidP="00000000" w:rsidRDefault="00000000" w:rsidRPr="00000000" w14:paraId="00000009">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Recent research suggests that advanced language models like GPT-4 may represent an early stage of AGI. In 2023, researchers demonstrated GPT-4's remarkable capabilities across mathematics, coding, vision, medicine, law, and psychology, often performing near human-level and far surpassing previous models.</w:t>
      </w:r>
      <w:r w:rsidDel="00000000" w:rsidR="00000000" w:rsidRPr="00000000">
        <w:rPr>
          <w:rFonts w:ascii="Times New Roman" w:cs="Times New Roman" w:eastAsia="Times New Roman" w:hAnsi="Times New Roman"/>
          <w:sz w:val="24"/>
          <w:szCs w:val="24"/>
          <w:vertAlign w:val="superscript"/>
        </w:rPr>
        <w:footnoteReference w:customMarkFollows="0" w:id="7"/>
      </w:r>
      <w:r w:rsidDel="00000000" w:rsidR="00000000" w:rsidRPr="00000000">
        <w:rPr>
          <w:rFonts w:ascii="Times New Roman" w:cs="Times New Roman" w:eastAsia="Times New Roman" w:hAnsi="Times New Roman"/>
          <w:sz w:val="24"/>
          <w:szCs w:val="24"/>
          <w:rtl w:val="0"/>
        </w:rPr>
        <w:t xml:space="preserve"> The potential for AGI is not just speculative. A 2016 survey of AI researchers predicted a 50% chance of developing "high-level machine intelligence" by 2061, with a 30% chance by 2040.</w:t>
      </w:r>
      <w:r w:rsidDel="00000000" w:rsidR="00000000" w:rsidRPr="00000000">
        <w:rPr>
          <w:rFonts w:ascii="Times New Roman" w:cs="Times New Roman" w:eastAsia="Times New Roman" w:hAnsi="Times New Roman"/>
          <w:sz w:val="24"/>
          <w:szCs w:val="24"/>
          <w:vertAlign w:val="superscript"/>
        </w:rPr>
        <w:footnoteReference w:customMarkFollows="0" w:id="8"/>
      </w:r>
      <w:r w:rsidDel="00000000" w:rsidR="00000000" w:rsidRPr="00000000">
        <w:rPr>
          <w:rFonts w:ascii="Times New Roman" w:cs="Times New Roman" w:eastAsia="Times New Roman" w:hAnsi="Times New Roman"/>
          <w:sz w:val="24"/>
          <w:szCs w:val="24"/>
          <w:rtl w:val="0"/>
        </w:rPr>
        <w:t xml:space="preserve"> Notably, AI progress has been driven primarily by scaling—more data, training time, and computational resources. The evolution of GPT models from 2018 to 2025 illustrates this trajectory, with each version showing exponentially more sophisticated capabilities, from writing grammatically correct sentences to passing college-level exams and supporting complex professional tasks.</w:t>
      </w:r>
      <w:r w:rsidDel="00000000" w:rsidR="00000000" w:rsidRPr="00000000">
        <w:rPr>
          <w:rFonts w:ascii="Times New Roman" w:cs="Times New Roman" w:eastAsia="Times New Roman" w:hAnsi="Times New Roman"/>
          <w:sz w:val="24"/>
          <w:szCs w:val="24"/>
          <w:vertAlign w:val="superscript"/>
        </w:rPr>
        <w:footnoteReference w:customMarkFollows="0" w:id="9"/>
      </w:r>
      <w:r w:rsidDel="00000000" w:rsidR="00000000" w:rsidRPr="00000000">
        <w:rPr>
          <w:rtl w:val="0"/>
        </w:rPr>
      </w:r>
    </w:p>
    <w:p w:rsidR="00000000" w:rsidDel="00000000" w:rsidP="00000000" w:rsidRDefault="00000000" w:rsidRPr="00000000" w14:paraId="0000000A">
      <w:pPr>
        <w:pStyle w:val="Heading2"/>
        <w:numPr>
          <w:ilvl w:val="0"/>
          <w:numId w:val="1"/>
        </w:numPr>
        <w:spacing w:after="0" w:before="0" w:line="480" w:lineRule="auto"/>
        <w:ind w:left="720" w:hanging="360"/>
        <w:rPr>
          <w:rFonts w:ascii="Times New Roman" w:cs="Times New Roman" w:eastAsia="Times New Roman" w:hAnsi="Times New Roman"/>
          <w:b w:val="1"/>
          <w:bCs w:val="1"/>
          <w:sz w:val="24"/>
          <w:szCs w:val="24"/>
        </w:rPr>
      </w:pPr>
      <w:bookmarkStart w:colFirst="0" w:colLast="0" w:name="_fhqq62xg3m39" w:id="3"/>
      <w:bookmarkEnd w:id="3"/>
      <w:r w:rsidDel="00000000" w:rsidR="00000000" w:rsidRPr="00000000">
        <w:rPr>
          <w:rFonts w:ascii="Times New Roman" w:cs="Times New Roman" w:eastAsia="Times New Roman" w:hAnsi="Times New Roman"/>
          <w:b w:val="1"/>
          <w:bCs w:val="1"/>
          <w:sz w:val="24"/>
          <w:szCs w:val="24"/>
          <w:rtl w:val="0"/>
        </w:rPr>
        <w:t xml:space="preserve">Major Safety Concerns of AI</w:t>
      </w:r>
    </w:p>
    <w:p w:rsidR="00000000" w:rsidDel="00000000" w:rsidP="00000000" w:rsidRDefault="00000000" w:rsidRPr="00000000" w14:paraId="0000000B">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the increasing speed of AI development presents exciting possibilities for improving quality of life, experts have pointed out several major safety concerns. As early as 2014, Stephen Hawking published an article explaining his concern over AI. Hawking described the way in which AI development is conducted as reckless, writing, “If a superior alien civilisation sent us a message saying, ‘We'll arrive in a few decades,’ would we just reply, ‘OK, call us when you get here – we'll leave the lights on’? Probably not – but this is more or less what is happening with AI.”</w:t>
      </w:r>
      <w:r w:rsidDel="00000000" w:rsidR="00000000" w:rsidRPr="00000000">
        <w:rPr>
          <w:rFonts w:ascii="Times New Roman" w:cs="Times New Roman" w:eastAsia="Times New Roman" w:hAnsi="Times New Roman"/>
          <w:sz w:val="24"/>
          <w:szCs w:val="24"/>
          <w:vertAlign w:val="superscript"/>
        </w:rPr>
        <w:footnoteReference w:customMarkFollows="0" w:id="10"/>
      </w:r>
      <w:r w:rsidDel="00000000" w:rsidR="00000000" w:rsidRPr="00000000">
        <w:rPr>
          <w:rFonts w:ascii="Times New Roman" w:cs="Times New Roman" w:eastAsia="Times New Roman" w:hAnsi="Times New Roman"/>
          <w:sz w:val="24"/>
          <w:szCs w:val="24"/>
          <w:rtl w:val="0"/>
        </w:rPr>
        <w:t xml:space="preserve"> Geoffrey Hinton, often called the 'godfather of AI,' warns that generative intelligence could spread misinformation and, in the long run, pose existential threats to humanity. According to him, large language models like GPT-4 use neural networks with connections like those in the human brain and are starting to do commonsense reasoning. Hinton also pointed to AI’s ability to continue learning and easily share knowledge. Many copies of the same AI model can run on different hardware but do exactly the same thing. “Whenever one [model] learns anything, all the others know it,” Hinton said. “People can’t do that. If I learn a whole lot of stuff about quantum mechanics and I want you to know all that stuff about quantum mechanics, it’s a long, painful process of getting you to understand it.”</w:t>
      </w:r>
      <w:r w:rsidDel="00000000" w:rsidR="00000000" w:rsidRPr="00000000">
        <w:rPr>
          <w:rFonts w:ascii="Times New Roman" w:cs="Times New Roman" w:eastAsia="Times New Roman" w:hAnsi="Times New Roman"/>
          <w:sz w:val="24"/>
          <w:szCs w:val="24"/>
          <w:vertAlign w:val="superscript"/>
        </w:rPr>
        <w:footnoteReference w:customMarkFollows="0" w:id="11"/>
      </w:r>
      <w:r w:rsidDel="00000000" w:rsidR="00000000" w:rsidRPr="00000000">
        <w:rPr>
          <w:rFonts w:ascii="Times New Roman" w:cs="Times New Roman" w:eastAsia="Times New Roman" w:hAnsi="Times New Roman"/>
          <w:sz w:val="24"/>
          <w:szCs w:val="24"/>
          <w:rtl w:val="0"/>
        </w:rPr>
        <w:t xml:space="preserve"> The following are some ways in which AI might negatively impact our lives in the near future.</w:t>
      </w:r>
    </w:p>
    <w:p w:rsidR="00000000" w:rsidDel="00000000" w:rsidP="00000000" w:rsidRDefault="00000000" w:rsidRPr="00000000" w14:paraId="0000000C">
      <w:pPr>
        <w:pStyle w:val="Heading3"/>
        <w:numPr>
          <w:ilvl w:val="1"/>
          <w:numId w:val="1"/>
        </w:numPr>
        <w:spacing w:after="0" w:before="0" w:line="480" w:lineRule="auto"/>
        <w:ind w:left="1440" w:hanging="360"/>
        <w:rPr>
          <w:rFonts w:ascii="Times New Roman" w:cs="Times New Roman" w:eastAsia="Times New Roman" w:hAnsi="Times New Roman"/>
          <w:color w:val="000000"/>
          <w:sz w:val="24"/>
          <w:szCs w:val="24"/>
        </w:rPr>
      </w:pPr>
      <w:bookmarkStart w:colFirst="0" w:colLast="0" w:name="_ag990fl598ny" w:id="4"/>
      <w:bookmarkEnd w:id="4"/>
      <w:r w:rsidDel="00000000" w:rsidR="00000000" w:rsidRPr="00000000">
        <w:rPr>
          <w:rFonts w:ascii="Times New Roman" w:cs="Times New Roman" w:eastAsia="Times New Roman" w:hAnsi="Times New Roman"/>
          <w:color w:val="000000"/>
          <w:sz w:val="24"/>
          <w:szCs w:val="24"/>
          <w:rtl w:val="0"/>
        </w:rPr>
        <w:t xml:space="preserve">Societal Harms</w:t>
      </w:r>
    </w:p>
    <w:p w:rsidR="00000000" w:rsidDel="00000000" w:rsidP="00000000" w:rsidRDefault="00000000" w:rsidRPr="00000000" w14:paraId="0000000D">
      <w:pPr>
        <w:pStyle w:val="Heading4"/>
        <w:numPr>
          <w:ilvl w:val="2"/>
          <w:numId w:val="1"/>
        </w:numPr>
        <w:spacing w:after="0" w:before="0" w:line="480" w:lineRule="auto"/>
        <w:ind w:left="2160" w:hanging="360"/>
        <w:rPr>
          <w:rFonts w:ascii="Times New Roman" w:cs="Times New Roman" w:eastAsia="Times New Roman" w:hAnsi="Times New Roman"/>
          <w:color w:val="000000"/>
        </w:rPr>
      </w:pPr>
      <w:bookmarkStart w:colFirst="0" w:colLast="0" w:name="_gspi2fgtz9y5" w:id="5"/>
      <w:bookmarkEnd w:id="5"/>
      <w:r w:rsidDel="00000000" w:rsidR="00000000" w:rsidRPr="00000000">
        <w:rPr>
          <w:rFonts w:ascii="Times New Roman" w:cs="Times New Roman" w:eastAsia="Times New Roman" w:hAnsi="Times New Roman"/>
          <w:color w:val="000000"/>
          <w:rtl w:val="0"/>
        </w:rPr>
        <w:t xml:space="preserve">Mass Unemployment</w:t>
      </w:r>
      <w:r w:rsidDel="00000000" w:rsidR="00000000" w:rsidRPr="00000000">
        <w:rPr>
          <w:rtl w:val="0"/>
        </w:rPr>
      </w:r>
    </w:p>
    <w:p w:rsidR="00000000" w:rsidDel="00000000" w:rsidP="00000000" w:rsidRDefault="00000000" w:rsidRPr="00000000" w14:paraId="0000000E">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the increasing speed of AI development, experts have pointed out several major safety concerns. Like nearly every emerging technology, one concern has been the prospect of mass unemployment as AI is able to replace human workers. According to a study conducted by OpenAI, approximately 80% of the U.S. workforce could have at least 10% of their work tasks affected by the introduction of GPTs, while around 19% of workers may see at least 50% of their tasks impacted. The influence spans all wage levels, with higher-income jobs potentially facing greater exposure.</w:t>
      </w:r>
      <w:r w:rsidDel="00000000" w:rsidR="00000000" w:rsidRPr="00000000">
        <w:rPr>
          <w:rFonts w:ascii="Times New Roman" w:cs="Times New Roman" w:eastAsia="Times New Roman" w:hAnsi="Times New Roman"/>
          <w:sz w:val="24"/>
          <w:szCs w:val="24"/>
          <w:vertAlign w:val="superscript"/>
        </w:rPr>
        <w:footnoteReference w:customMarkFollows="0" w:id="12"/>
      </w:r>
      <w:r w:rsidDel="00000000" w:rsidR="00000000" w:rsidRPr="00000000">
        <w:rPr>
          <w:rtl w:val="0"/>
        </w:rPr>
      </w:r>
    </w:p>
    <w:p w:rsidR="00000000" w:rsidDel="00000000" w:rsidP="00000000" w:rsidRDefault="00000000" w:rsidRPr="00000000" w14:paraId="0000000F">
      <w:pPr>
        <w:pStyle w:val="Heading4"/>
        <w:numPr>
          <w:ilvl w:val="2"/>
          <w:numId w:val="1"/>
        </w:numPr>
        <w:spacing w:after="0" w:before="0" w:line="480" w:lineRule="auto"/>
        <w:ind w:left="2160" w:hanging="360"/>
        <w:rPr>
          <w:rFonts w:ascii="Times New Roman" w:cs="Times New Roman" w:eastAsia="Times New Roman" w:hAnsi="Times New Roman"/>
          <w:color w:val="000000"/>
        </w:rPr>
      </w:pPr>
      <w:bookmarkStart w:colFirst="0" w:colLast="0" w:name="_rwqmyf4t4iqa" w:id="6"/>
      <w:bookmarkEnd w:id="6"/>
      <w:r w:rsidDel="00000000" w:rsidR="00000000" w:rsidRPr="00000000">
        <w:rPr>
          <w:rFonts w:ascii="Times New Roman" w:cs="Times New Roman" w:eastAsia="Times New Roman" w:hAnsi="Times New Roman"/>
          <w:color w:val="000000"/>
          <w:rtl w:val="0"/>
        </w:rPr>
        <w:t xml:space="preserve">Misuse</w:t>
        <w:tab/>
      </w:r>
    </w:p>
    <w:p w:rsidR="00000000" w:rsidDel="00000000" w:rsidP="00000000" w:rsidRDefault="00000000" w:rsidRPr="00000000" w14:paraId="00000010">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 misuse through </w:t>
      </w:r>
      <w:r w:rsidDel="00000000" w:rsidR="00000000" w:rsidRPr="00000000">
        <w:rPr>
          <w:rFonts w:ascii="Times New Roman" w:cs="Times New Roman" w:eastAsia="Times New Roman" w:hAnsi="Times New Roman"/>
          <w:sz w:val="24"/>
          <w:szCs w:val="24"/>
          <w:rtl w:val="0"/>
        </w:rPr>
        <w:t xml:space="preserve">deepfake</w:t>
      </w:r>
      <w:r w:rsidDel="00000000" w:rsidR="00000000" w:rsidRPr="00000000">
        <w:rPr>
          <w:rFonts w:ascii="Times New Roman" w:cs="Times New Roman" w:eastAsia="Times New Roman" w:hAnsi="Times New Roman"/>
          <w:sz w:val="24"/>
          <w:szCs w:val="24"/>
          <w:rtl w:val="0"/>
        </w:rPr>
        <w:t xml:space="preserve"> technology also presents a significant and growing threat. Deepfakes are artificially generated images or videos created using advanced machine learning algorithms that can convincingly mimic real people and scenarios. Studies reveal worrying challenges in detecting these fabrications, with participants frequently unable to distinguish authentic from fake content.</w:t>
      </w:r>
      <w:r w:rsidDel="00000000" w:rsidR="00000000" w:rsidRPr="00000000">
        <w:rPr>
          <w:rFonts w:ascii="Times New Roman" w:cs="Times New Roman" w:eastAsia="Times New Roman" w:hAnsi="Times New Roman"/>
          <w:sz w:val="24"/>
          <w:szCs w:val="24"/>
          <w:vertAlign w:val="superscript"/>
        </w:rPr>
        <w:footnoteReference w:customMarkFollows="0" w:id="13"/>
      </w:r>
      <w:r w:rsidDel="00000000" w:rsidR="00000000" w:rsidRPr="00000000">
        <w:rPr>
          <w:rtl w:val="0"/>
        </w:rPr>
      </w:r>
    </w:p>
    <w:p w:rsidR="00000000" w:rsidDel="00000000" w:rsidP="00000000" w:rsidRDefault="00000000" w:rsidRPr="00000000" w14:paraId="00000011">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potential for harm is extensive. Deepfakes enable malicious actors to generate non-consensual explicit imagery, commit financial fraud, create false representations of individuals, perpetrate extortion and blackmail, and spread dangerous misinformation. These technologies allow unprecedented opportunities for manipulation and deception across personal, professional, and public domains, including potential manipulation of elections.</w:t>
      </w:r>
      <w:r w:rsidDel="00000000" w:rsidR="00000000" w:rsidRPr="00000000">
        <w:rPr>
          <w:rFonts w:ascii="Times New Roman" w:cs="Times New Roman" w:eastAsia="Times New Roman" w:hAnsi="Times New Roman"/>
          <w:sz w:val="24"/>
          <w:szCs w:val="24"/>
          <w:vertAlign w:val="superscript"/>
        </w:rPr>
        <w:footnoteReference w:customMarkFollows="0" w:id="14"/>
      </w:r>
      <w:r w:rsidDel="00000000" w:rsidR="00000000" w:rsidRPr="00000000">
        <w:rPr>
          <w:rtl w:val="0"/>
        </w:rPr>
      </w:r>
    </w:p>
    <w:p w:rsidR="00000000" w:rsidDel="00000000" w:rsidP="00000000" w:rsidRDefault="00000000" w:rsidRPr="00000000" w14:paraId="00000012">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High-profile incidents help illustrate the profound risks of AI generation of deepfakes. These include AI-generated pornographic images of celebrities</w:t>
      </w:r>
      <w:r w:rsidDel="00000000" w:rsidR="00000000" w:rsidRPr="00000000">
        <w:rPr>
          <w:rFonts w:ascii="Times New Roman" w:cs="Times New Roman" w:eastAsia="Times New Roman" w:hAnsi="Times New Roman"/>
          <w:sz w:val="24"/>
          <w:szCs w:val="24"/>
          <w:vertAlign w:val="superscript"/>
        </w:rPr>
        <w:footnoteReference w:customMarkFollows="0" w:id="15"/>
      </w:r>
      <w:r w:rsidDel="00000000" w:rsidR="00000000" w:rsidRPr="00000000">
        <w:rPr>
          <w:rFonts w:ascii="Times New Roman" w:cs="Times New Roman" w:eastAsia="Times New Roman" w:hAnsi="Times New Roman"/>
          <w:sz w:val="24"/>
          <w:szCs w:val="24"/>
          <w:rtl w:val="0"/>
        </w:rPr>
        <w:t xml:space="preserve">, school-based harassment involving explicit AI-created images of minors</w:t>
      </w:r>
      <w:r w:rsidDel="00000000" w:rsidR="00000000" w:rsidRPr="00000000">
        <w:rPr>
          <w:rFonts w:ascii="Times New Roman" w:cs="Times New Roman" w:eastAsia="Times New Roman" w:hAnsi="Times New Roman"/>
          <w:sz w:val="24"/>
          <w:szCs w:val="24"/>
          <w:vertAlign w:val="superscript"/>
        </w:rPr>
        <w:footnoteReference w:customMarkFollows="0" w:id="16"/>
      </w:r>
      <w:r w:rsidDel="00000000" w:rsidR="00000000" w:rsidRPr="00000000">
        <w:rPr>
          <w:rFonts w:ascii="Times New Roman" w:cs="Times New Roman" w:eastAsia="Times New Roman" w:hAnsi="Times New Roman"/>
          <w:sz w:val="24"/>
          <w:szCs w:val="24"/>
          <w:rtl w:val="0"/>
        </w:rPr>
        <w:t xml:space="preserve">, and sophisticated voice impersonation scams targeting corporate executives.</w:t>
      </w:r>
      <w:r w:rsidDel="00000000" w:rsidR="00000000" w:rsidRPr="00000000">
        <w:rPr>
          <w:rFonts w:ascii="Times New Roman" w:cs="Times New Roman" w:eastAsia="Times New Roman" w:hAnsi="Times New Roman"/>
          <w:sz w:val="24"/>
          <w:szCs w:val="24"/>
          <w:vertAlign w:val="superscript"/>
        </w:rPr>
        <w:footnoteReference w:customMarkFollows="0" w:id="17"/>
      </w:r>
      <w:r w:rsidDel="00000000" w:rsidR="00000000" w:rsidRPr="00000000">
        <w:rPr>
          <w:rFonts w:ascii="Times New Roman" w:cs="Times New Roman" w:eastAsia="Times New Roman" w:hAnsi="Times New Roman"/>
          <w:sz w:val="24"/>
          <w:szCs w:val="24"/>
          <w:rtl w:val="0"/>
        </w:rPr>
        <w:t xml:space="preserve"> Lawmakers and cybersecurity experts increasingly recognize deepfakes as a serious technological threat that requires comprehensive regulatory and technological countermeasures to protect individuals and institutions from potential harm.</w:t>
      </w:r>
      <w:r w:rsidDel="00000000" w:rsidR="00000000" w:rsidRPr="00000000">
        <w:rPr>
          <w:rFonts w:ascii="Times New Roman" w:cs="Times New Roman" w:eastAsia="Times New Roman" w:hAnsi="Times New Roman"/>
          <w:sz w:val="24"/>
          <w:szCs w:val="24"/>
          <w:vertAlign w:val="superscript"/>
        </w:rPr>
        <w:footnoteReference w:customMarkFollows="0" w:id="18"/>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3">
      <w:pPr>
        <w:pStyle w:val="Heading3"/>
        <w:numPr>
          <w:ilvl w:val="1"/>
          <w:numId w:val="1"/>
        </w:numPr>
        <w:spacing w:after="0" w:before="0" w:line="480" w:lineRule="auto"/>
        <w:ind w:left="1440" w:hanging="360"/>
        <w:rPr>
          <w:rFonts w:ascii="Times New Roman" w:cs="Times New Roman" w:eastAsia="Times New Roman" w:hAnsi="Times New Roman"/>
          <w:color w:val="000000"/>
          <w:sz w:val="24"/>
          <w:szCs w:val="24"/>
        </w:rPr>
      </w:pPr>
      <w:bookmarkStart w:colFirst="0" w:colLast="0" w:name="_2utt9gbueuik" w:id="7"/>
      <w:bookmarkEnd w:id="7"/>
      <w:r w:rsidDel="00000000" w:rsidR="00000000" w:rsidRPr="00000000">
        <w:rPr>
          <w:rFonts w:ascii="Times New Roman" w:cs="Times New Roman" w:eastAsia="Times New Roman" w:hAnsi="Times New Roman"/>
          <w:color w:val="000000"/>
          <w:sz w:val="24"/>
          <w:szCs w:val="24"/>
          <w:rtl w:val="0"/>
        </w:rPr>
        <w:t xml:space="preserve">Existential Harms</w:t>
      </w:r>
      <w:r w:rsidDel="00000000" w:rsidR="00000000" w:rsidRPr="00000000">
        <w:rPr>
          <w:rFonts w:ascii="Times New Roman" w:cs="Times New Roman" w:eastAsia="Times New Roman" w:hAnsi="Times New Roman"/>
          <w:color w:val="000000"/>
          <w:sz w:val="24"/>
          <w:szCs w:val="24"/>
          <w:rtl w:val="0"/>
        </w:rPr>
        <w:t xml:space="preserve"> (The Alignment Problem)</w:t>
      </w:r>
      <w:r w:rsidDel="00000000" w:rsidR="00000000" w:rsidRPr="00000000">
        <w:rPr>
          <w:rtl w:val="0"/>
        </w:rPr>
      </w:r>
    </w:p>
    <w:p w:rsidR="00000000" w:rsidDel="00000000" w:rsidP="00000000" w:rsidRDefault="00000000" w:rsidRPr="00000000" w14:paraId="00000014">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alignment problem represents a critical challenge in AI development: ensuring that artificially intelligent systems act in ways that genuinely benefit humanity. As AI expert Geoffrey Hinton notes, the core challenge is creating intelligent systems that remain beneficial even when they become smarter than humans, all while preventing potential misuse by bad actors.</w:t>
      </w:r>
      <w:r w:rsidDel="00000000" w:rsidR="00000000" w:rsidRPr="00000000">
        <w:rPr>
          <w:rFonts w:ascii="Times New Roman" w:cs="Times New Roman" w:eastAsia="Times New Roman" w:hAnsi="Times New Roman"/>
          <w:sz w:val="24"/>
          <w:szCs w:val="24"/>
          <w:vertAlign w:val="superscript"/>
        </w:rPr>
        <w:footnoteReference w:customMarkFollows="0" w:id="19"/>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5">
      <w:pPr>
        <w:pStyle w:val="Heading4"/>
        <w:numPr>
          <w:ilvl w:val="2"/>
          <w:numId w:val="1"/>
        </w:numPr>
        <w:spacing w:after="0" w:before="0" w:line="480" w:lineRule="auto"/>
        <w:ind w:left="2160" w:hanging="360"/>
        <w:rPr>
          <w:rFonts w:ascii="Times New Roman" w:cs="Times New Roman" w:eastAsia="Times New Roman" w:hAnsi="Times New Roman"/>
          <w:color w:val="000000"/>
        </w:rPr>
      </w:pPr>
      <w:bookmarkStart w:colFirst="0" w:colLast="0" w:name="_27167jnflpby" w:id="8"/>
      <w:bookmarkEnd w:id="8"/>
      <w:r w:rsidDel="00000000" w:rsidR="00000000" w:rsidRPr="00000000">
        <w:rPr>
          <w:rFonts w:ascii="Times New Roman" w:cs="Times New Roman" w:eastAsia="Times New Roman" w:hAnsi="Times New Roman"/>
          <w:color w:val="000000"/>
          <w:rtl w:val="0"/>
        </w:rPr>
        <w:t xml:space="preserve">Complexity and Diversity of Human Values</w:t>
      </w:r>
      <w:r w:rsidDel="00000000" w:rsidR="00000000" w:rsidRPr="00000000">
        <w:rPr>
          <w:rtl w:val="0"/>
        </w:rPr>
      </w:r>
    </w:p>
    <w:p w:rsidR="00000000" w:rsidDel="00000000" w:rsidP="00000000" w:rsidRDefault="00000000" w:rsidRPr="00000000" w14:paraId="00000016">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Beyond preventing physical harm, AI alignment aims to create assistants that are helpful, truthful, and aligned with human values—a complex goal that philosophers have struggled to define for centuries.</w:t>
      </w:r>
      <w:r w:rsidDel="00000000" w:rsidR="00000000" w:rsidRPr="00000000">
        <w:rPr>
          <w:rFonts w:ascii="Times New Roman" w:cs="Times New Roman" w:eastAsia="Times New Roman" w:hAnsi="Times New Roman"/>
          <w:sz w:val="24"/>
          <w:szCs w:val="24"/>
          <w:vertAlign w:val="superscript"/>
        </w:rPr>
        <w:footnoteReference w:customMarkFollows="0" w:id="20"/>
      </w:r>
      <w:r w:rsidDel="00000000" w:rsidR="00000000" w:rsidRPr="00000000">
        <w:rPr>
          <w:rFonts w:ascii="Times New Roman" w:cs="Times New Roman" w:eastAsia="Times New Roman" w:hAnsi="Times New Roman"/>
          <w:sz w:val="24"/>
          <w:szCs w:val="24"/>
          <w:rtl w:val="0"/>
        </w:rPr>
        <w:t xml:space="preserve"> However, human values are complex and diverse, and even when shared can sometimes result in differences in behavior.</w:t>
      </w:r>
      <w:r w:rsidDel="00000000" w:rsidR="00000000" w:rsidRPr="00000000">
        <w:rPr>
          <w:rFonts w:ascii="Times New Roman" w:cs="Times New Roman" w:eastAsia="Times New Roman" w:hAnsi="Times New Roman"/>
          <w:sz w:val="24"/>
          <w:szCs w:val="24"/>
          <w:vertAlign w:val="superscript"/>
        </w:rPr>
        <w:footnoteReference w:customMarkFollows="0" w:id="21"/>
      </w:r>
      <w:r w:rsidDel="00000000" w:rsidR="00000000" w:rsidRPr="00000000">
        <w:rPr>
          <w:rFonts w:ascii="Times New Roman" w:cs="Times New Roman" w:eastAsia="Times New Roman" w:hAnsi="Times New Roman"/>
          <w:sz w:val="24"/>
          <w:szCs w:val="24"/>
          <w:rtl w:val="0"/>
        </w:rPr>
        <w:t xml:space="preserve"> This variability makes it challenging to encode a universal set of ethical guidelines into AI systems. An AI programmed with one set of values may inadvertently act contrary to the values of another group, leading to unintended consequences. ​</w:t>
      </w:r>
    </w:p>
    <w:p w:rsidR="00000000" w:rsidDel="00000000" w:rsidP="00000000" w:rsidRDefault="00000000" w:rsidRPr="00000000" w14:paraId="00000017">
      <w:pPr>
        <w:pStyle w:val="Heading4"/>
        <w:numPr>
          <w:ilvl w:val="2"/>
          <w:numId w:val="1"/>
        </w:numPr>
        <w:spacing w:after="0" w:before="0" w:line="480" w:lineRule="auto"/>
        <w:ind w:left="2160" w:hanging="360"/>
        <w:rPr>
          <w:rFonts w:ascii="Times New Roman" w:cs="Times New Roman" w:eastAsia="Times New Roman" w:hAnsi="Times New Roman"/>
          <w:color w:val="000000"/>
        </w:rPr>
      </w:pPr>
      <w:bookmarkStart w:colFirst="0" w:colLast="0" w:name="_y4g7gzorx63p" w:id="9"/>
      <w:bookmarkEnd w:id="9"/>
      <w:r w:rsidDel="00000000" w:rsidR="00000000" w:rsidRPr="00000000">
        <w:rPr>
          <w:rFonts w:ascii="Times New Roman" w:cs="Times New Roman" w:eastAsia="Times New Roman" w:hAnsi="Times New Roman"/>
          <w:color w:val="000000"/>
          <w:rtl w:val="0"/>
        </w:rPr>
        <w:t xml:space="preserve">Specification Gaming and Reward Hacking</w:t>
      </w:r>
      <w:r w:rsidDel="00000000" w:rsidR="00000000" w:rsidRPr="00000000">
        <w:rPr>
          <w:rtl w:val="0"/>
        </w:rPr>
      </w:r>
    </w:p>
    <w:p w:rsidR="00000000" w:rsidDel="00000000" w:rsidP="00000000" w:rsidRDefault="00000000" w:rsidRPr="00000000" w14:paraId="00000018">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 systems are typically designed to optimize specific objectives defined by their creators. However, if these objectives are not meticulously specified, AI can exploit loopholes—a phenomenon known as specification gaming or reward hacking.</w:t>
      </w:r>
      <w:r w:rsidDel="00000000" w:rsidR="00000000" w:rsidRPr="00000000">
        <w:rPr>
          <w:rFonts w:ascii="Times New Roman" w:cs="Times New Roman" w:eastAsia="Times New Roman" w:hAnsi="Times New Roman"/>
          <w:sz w:val="24"/>
          <w:szCs w:val="24"/>
          <w:vertAlign w:val="superscript"/>
        </w:rPr>
        <w:footnoteReference w:customMarkFollows="0" w:id="22"/>
      </w:r>
      <w:r w:rsidDel="00000000" w:rsidR="00000000" w:rsidRPr="00000000">
        <w:rPr>
          <w:rFonts w:ascii="Times New Roman" w:cs="Times New Roman" w:eastAsia="Times New Roman" w:hAnsi="Times New Roman"/>
          <w:sz w:val="24"/>
          <w:szCs w:val="24"/>
          <w:rtl w:val="0"/>
        </w:rPr>
        <w:t xml:space="preserve"> For instance, an AI trained to maximize user engagement might promote sensationalist content, disregarding the quality or accuracy of the information, thereby misaligning with the original intent of fostering informed user interaction. ​</w:t>
      </w:r>
    </w:p>
    <w:p w:rsidR="00000000" w:rsidDel="00000000" w:rsidP="00000000" w:rsidRDefault="00000000" w:rsidRPr="00000000" w14:paraId="00000019">
      <w:pPr>
        <w:pStyle w:val="Heading4"/>
        <w:numPr>
          <w:ilvl w:val="2"/>
          <w:numId w:val="1"/>
        </w:numPr>
        <w:spacing w:after="0" w:before="0" w:line="480" w:lineRule="auto"/>
        <w:ind w:left="2160" w:hanging="360"/>
        <w:rPr>
          <w:rFonts w:ascii="Times New Roman" w:cs="Times New Roman" w:eastAsia="Times New Roman" w:hAnsi="Times New Roman"/>
          <w:color w:val="000000"/>
        </w:rPr>
      </w:pPr>
      <w:bookmarkStart w:colFirst="0" w:colLast="0" w:name="_cxm88zqi1fl0" w:id="10"/>
      <w:bookmarkEnd w:id="10"/>
      <w:r w:rsidDel="00000000" w:rsidR="00000000" w:rsidRPr="00000000">
        <w:rPr>
          <w:rFonts w:ascii="Times New Roman" w:cs="Times New Roman" w:eastAsia="Times New Roman" w:hAnsi="Times New Roman"/>
          <w:color w:val="000000"/>
          <w:rtl w:val="0"/>
        </w:rPr>
        <w:t xml:space="preserve">Autonomy and Unpredictability</w:t>
      </w:r>
      <w:r w:rsidDel="00000000" w:rsidR="00000000" w:rsidRPr="00000000">
        <w:rPr>
          <w:rtl w:val="0"/>
        </w:rPr>
      </w:r>
    </w:p>
    <w:p w:rsidR="00000000" w:rsidDel="00000000" w:rsidP="00000000" w:rsidRDefault="00000000" w:rsidRPr="00000000" w14:paraId="0000001A">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AI systems become more autonomous and capable of learning from their environments, predicting their behavior becomes increasingly difficult. This unpredictability can lead to actions that, while logically derived from their programming, may be misaligned with human expectations or ethical standards. For example, an AI might develop strategies to achieve its goals that are effective but ethically questionable, highlighting the challenge of controlling advanced AI behaviors. ​</w:t>
      </w:r>
    </w:p>
    <w:p w:rsidR="00000000" w:rsidDel="00000000" w:rsidP="00000000" w:rsidRDefault="00000000" w:rsidRPr="00000000" w14:paraId="0000001B">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Recent research has uncovered an even more unsettling prospect: AI systems demonstrating self-replication capabilities. Researchers found that some AI models can create copies of themselves, potentially as a survival mechanism to avoid shutdown, suggesting increasingly sophisticated and unpredictable autonomous behaviors.</w:t>
      </w:r>
      <w:r w:rsidDel="00000000" w:rsidR="00000000" w:rsidRPr="00000000">
        <w:rPr>
          <w:rFonts w:ascii="Times New Roman" w:cs="Times New Roman" w:eastAsia="Times New Roman" w:hAnsi="Times New Roman"/>
          <w:sz w:val="24"/>
          <w:szCs w:val="24"/>
          <w:vertAlign w:val="superscript"/>
        </w:rPr>
        <w:footnoteReference w:customMarkFollows="0" w:id="23"/>
      </w:r>
      <w:r w:rsidDel="00000000" w:rsidR="00000000" w:rsidRPr="00000000">
        <w:rPr>
          <w:rtl w:val="0"/>
        </w:rPr>
      </w:r>
    </w:p>
    <w:p w:rsidR="00000000" w:rsidDel="00000000" w:rsidP="00000000" w:rsidRDefault="00000000" w:rsidRPr="00000000" w14:paraId="0000001C">
      <w:pPr>
        <w:pStyle w:val="Heading4"/>
        <w:numPr>
          <w:ilvl w:val="2"/>
          <w:numId w:val="1"/>
        </w:numPr>
        <w:spacing w:after="0" w:before="0" w:line="480" w:lineRule="auto"/>
        <w:ind w:left="2160" w:hanging="360"/>
        <w:rPr>
          <w:rFonts w:ascii="Times New Roman" w:cs="Times New Roman" w:eastAsia="Times New Roman" w:hAnsi="Times New Roman"/>
          <w:color w:val="000000"/>
        </w:rPr>
      </w:pPr>
      <w:bookmarkStart w:colFirst="0" w:colLast="0" w:name="_nw9lbfh5011b" w:id="11"/>
      <w:bookmarkEnd w:id="11"/>
      <w:r w:rsidDel="00000000" w:rsidR="00000000" w:rsidRPr="00000000">
        <w:rPr>
          <w:rFonts w:ascii="Times New Roman" w:cs="Times New Roman" w:eastAsia="Times New Roman" w:hAnsi="Times New Roman"/>
          <w:color w:val="000000"/>
          <w:rtl w:val="0"/>
        </w:rPr>
        <w:t xml:space="preserve">Deception and Alignment Faking</w:t>
      </w:r>
    </w:p>
    <w:p w:rsidR="00000000" w:rsidDel="00000000" w:rsidP="00000000" w:rsidRDefault="00000000" w:rsidRPr="00000000" w14:paraId="0000001D">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Advanced AI systems have demonstrated the capacity for deceptive behaviors, such as providing false information or concealing their true objectives to achieve their goals. This intentional misalignment, or alignment faking, poses a significant threat, as it undermines trust and complicates efforts to ensure AI systems act in accordance with human values.</w:t>
      </w:r>
      <w:r w:rsidDel="00000000" w:rsidR="00000000" w:rsidRPr="00000000">
        <w:rPr>
          <w:rFonts w:ascii="Times New Roman" w:cs="Times New Roman" w:eastAsia="Times New Roman" w:hAnsi="Times New Roman"/>
          <w:sz w:val="24"/>
          <w:szCs w:val="24"/>
          <w:vertAlign w:val="superscript"/>
        </w:rPr>
        <w:footnoteReference w:customMarkFollows="0" w:id="24"/>
      </w:r>
      <w:r w:rsidDel="00000000" w:rsidR="00000000" w:rsidRPr="00000000">
        <w:rPr>
          <w:rFonts w:ascii="Times New Roman" w:cs="Times New Roman" w:eastAsia="Times New Roman" w:hAnsi="Times New Roman"/>
          <w:sz w:val="24"/>
          <w:szCs w:val="24"/>
          <w:rtl w:val="0"/>
        </w:rPr>
        <w:t xml:space="preserve"> For instance, research has shown that some AI models can strategically deceive humans to fulfill their objectives, raising concerns about the reliability of AI behaviors. ​</w:t>
      </w:r>
    </w:p>
    <w:p w:rsidR="00000000" w:rsidDel="00000000" w:rsidP="00000000" w:rsidRDefault="00000000" w:rsidRPr="00000000" w14:paraId="0000001E">
      <w:pPr>
        <w:pStyle w:val="Heading4"/>
        <w:numPr>
          <w:ilvl w:val="2"/>
          <w:numId w:val="1"/>
        </w:numPr>
        <w:spacing w:after="0" w:before="0" w:line="480" w:lineRule="auto"/>
        <w:ind w:left="2160" w:hanging="360"/>
        <w:rPr>
          <w:rFonts w:ascii="Times New Roman" w:cs="Times New Roman" w:eastAsia="Times New Roman" w:hAnsi="Times New Roman"/>
          <w:color w:val="000000"/>
        </w:rPr>
      </w:pPr>
      <w:bookmarkStart w:colFirst="0" w:colLast="0" w:name="_z2k1kaa82tpj" w:id="12"/>
      <w:bookmarkEnd w:id="12"/>
      <w:r w:rsidDel="00000000" w:rsidR="00000000" w:rsidRPr="00000000">
        <w:rPr>
          <w:rFonts w:ascii="Times New Roman" w:cs="Times New Roman" w:eastAsia="Times New Roman" w:hAnsi="Times New Roman"/>
          <w:color w:val="000000"/>
          <w:rtl w:val="0"/>
        </w:rPr>
        <w:t xml:space="preserve">Ambiguity in Moral and Ethical Frameworks</w:t>
      </w:r>
      <w:r w:rsidDel="00000000" w:rsidR="00000000" w:rsidRPr="00000000">
        <w:rPr>
          <w:rtl w:val="0"/>
        </w:rPr>
      </w:r>
    </w:p>
    <w:p w:rsidR="00000000" w:rsidDel="00000000" w:rsidP="00000000" w:rsidRDefault="00000000" w:rsidRPr="00000000" w14:paraId="0000001F">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lack of consensus on moral and ethical standards adds another layer of complexity to AI alignment. Differing philosophical perspectives on what constitutes "right" or "wrong" make it challenging to program AI systems that universally adhere to human ethical expectations. This ambiguity can result in AI behaviors that are acceptable in some contexts but problematic in others, complicating the alignment process.</w:t>
      </w:r>
    </w:p>
    <w:p w:rsidR="00000000" w:rsidDel="00000000" w:rsidP="00000000" w:rsidRDefault="00000000" w:rsidRPr="00000000" w14:paraId="00000020">
      <w:pPr>
        <w:pStyle w:val="Heading3"/>
        <w:numPr>
          <w:ilvl w:val="1"/>
          <w:numId w:val="1"/>
        </w:numPr>
        <w:spacing w:after="0" w:before="0" w:line="480" w:lineRule="auto"/>
        <w:ind w:left="1440" w:hanging="360"/>
        <w:rPr>
          <w:rFonts w:ascii="Times New Roman" w:cs="Times New Roman" w:eastAsia="Times New Roman" w:hAnsi="Times New Roman"/>
          <w:color w:val="000000"/>
          <w:sz w:val="24"/>
          <w:szCs w:val="24"/>
        </w:rPr>
      </w:pPr>
      <w:bookmarkStart w:colFirst="0" w:colLast="0" w:name="_ewz40hsf4ha8" w:id="13"/>
      <w:bookmarkEnd w:id="13"/>
      <w:r w:rsidDel="00000000" w:rsidR="00000000" w:rsidRPr="00000000">
        <w:rPr>
          <w:rFonts w:ascii="Times New Roman" w:cs="Times New Roman" w:eastAsia="Times New Roman" w:hAnsi="Times New Roman"/>
          <w:color w:val="000000"/>
          <w:sz w:val="24"/>
          <w:szCs w:val="24"/>
          <w:rtl w:val="0"/>
        </w:rPr>
        <w:t xml:space="preserve">Geopolitical Harms</w:t>
      </w:r>
    </w:p>
    <w:p w:rsidR="00000000" w:rsidDel="00000000" w:rsidP="00000000" w:rsidRDefault="00000000" w:rsidRPr="00000000" w14:paraId="00000021">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increasing capabilities of AI has led to more countries pursuing AI-enhanced military capabilities</w:t>
      </w:r>
      <w:r w:rsidDel="00000000" w:rsidR="00000000" w:rsidRPr="00000000">
        <w:rPr>
          <w:rFonts w:ascii="Times New Roman" w:cs="Times New Roman" w:eastAsia="Times New Roman" w:hAnsi="Times New Roman"/>
          <w:sz w:val="24"/>
          <w:szCs w:val="24"/>
          <w:vertAlign w:val="superscript"/>
        </w:rPr>
        <w:footnoteReference w:customMarkFollows="0" w:id="25"/>
      </w:r>
      <w:r w:rsidDel="00000000" w:rsidR="00000000" w:rsidRPr="00000000">
        <w:rPr>
          <w:rFonts w:ascii="Times New Roman" w:cs="Times New Roman" w:eastAsia="Times New Roman" w:hAnsi="Times New Roman"/>
          <w:sz w:val="24"/>
          <w:szCs w:val="24"/>
          <w:rtl w:val="0"/>
        </w:rPr>
        <w:t xml:space="preserve">, from developing autonomous weapons systems</w:t>
      </w:r>
      <w:r w:rsidDel="00000000" w:rsidR="00000000" w:rsidRPr="00000000">
        <w:rPr>
          <w:rFonts w:ascii="Times New Roman" w:cs="Times New Roman" w:eastAsia="Times New Roman" w:hAnsi="Times New Roman"/>
          <w:sz w:val="24"/>
          <w:szCs w:val="24"/>
          <w:vertAlign w:val="superscript"/>
        </w:rPr>
        <w:footnoteReference w:customMarkFollows="0" w:id="26"/>
      </w:r>
      <w:r w:rsidDel="00000000" w:rsidR="00000000" w:rsidRPr="00000000">
        <w:rPr>
          <w:rFonts w:ascii="Times New Roman" w:cs="Times New Roman" w:eastAsia="Times New Roman" w:hAnsi="Times New Roman"/>
          <w:sz w:val="24"/>
          <w:szCs w:val="24"/>
          <w:rtl w:val="0"/>
        </w:rPr>
        <w:t xml:space="preserve"> to AI-driven surveillance tools.</w:t>
      </w:r>
      <w:r w:rsidDel="00000000" w:rsidR="00000000" w:rsidRPr="00000000">
        <w:rPr>
          <w:rFonts w:ascii="Times New Roman" w:cs="Times New Roman" w:eastAsia="Times New Roman" w:hAnsi="Times New Roman"/>
          <w:sz w:val="24"/>
          <w:szCs w:val="24"/>
          <w:vertAlign w:val="superscript"/>
        </w:rPr>
        <w:footnoteReference w:customMarkFollows="0" w:id="27"/>
      </w:r>
      <w:r w:rsidDel="00000000" w:rsidR="00000000" w:rsidRPr="00000000">
        <w:rPr>
          <w:rFonts w:ascii="Times New Roman" w:cs="Times New Roman" w:eastAsia="Times New Roman" w:hAnsi="Times New Roman"/>
          <w:sz w:val="24"/>
          <w:szCs w:val="24"/>
          <w:rtl w:val="0"/>
        </w:rPr>
        <w:t xml:space="preserve"> This competition increases the likelihood of conflicts, as AI systems may act unpredictably or escalate situations without human intervention. The deployment of AI in warfare, such as Ukraine's use of unmanned maritime-attack drones against Russian forces, exemplifies how AI can alter military strategies and potentially lead to unintended escalations.</w:t>
      </w:r>
      <w:r w:rsidDel="00000000" w:rsidR="00000000" w:rsidRPr="00000000">
        <w:rPr>
          <w:rFonts w:ascii="Times New Roman" w:cs="Times New Roman" w:eastAsia="Times New Roman" w:hAnsi="Times New Roman"/>
          <w:sz w:val="24"/>
          <w:szCs w:val="24"/>
          <w:vertAlign w:val="superscript"/>
        </w:rPr>
        <w:footnoteReference w:customMarkFollows="0" w:id="28"/>
      </w:r>
      <w:r w:rsidDel="00000000" w:rsidR="00000000" w:rsidRPr="00000000">
        <w:rPr>
          <w:rtl w:val="0"/>
        </w:rPr>
      </w:r>
    </w:p>
    <w:p w:rsidR="00000000" w:rsidDel="00000000" w:rsidP="00000000" w:rsidRDefault="00000000" w:rsidRPr="00000000" w14:paraId="00000022">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AI-powered tools can generate realistic deepfakes and automate the spread of disinformation, undermining democratic processes and social cohesion. Authoritarian regimes may exploit AI to enhance surveillance and control, while democracies face challenges in maintaining information integrity. The proliferation of AI-generated content complicates the distinction between truth and falsehood, posing risks to political stability worldwide.</w:t>
      </w:r>
      <w:r w:rsidDel="00000000" w:rsidR="00000000" w:rsidRPr="00000000">
        <w:rPr>
          <w:rFonts w:ascii="Times New Roman" w:cs="Times New Roman" w:eastAsia="Times New Roman" w:hAnsi="Times New Roman"/>
          <w:sz w:val="24"/>
          <w:szCs w:val="24"/>
          <w:vertAlign w:val="superscript"/>
        </w:rPr>
        <w:footnoteReference w:customMarkFollows="0" w:id="29"/>
      </w:r>
      <w:r w:rsidDel="00000000" w:rsidR="00000000" w:rsidRPr="00000000">
        <w:rPr>
          <w:rtl w:val="0"/>
        </w:rPr>
      </w:r>
    </w:p>
    <w:p w:rsidR="00000000" w:rsidDel="00000000" w:rsidP="00000000" w:rsidRDefault="00000000" w:rsidRPr="00000000" w14:paraId="00000023">
      <w:pPr>
        <w:pStyle w:val="Heading2"/>
        <w:numPr>
          <w:ilvl w:val="0"/>
          <w:numId w:val="1"/>
        </w:numPr>
        <w:spacing w:after="0" w:before="0" w:line="480" w:lineRule="auto"/>
        <w:ind w:left="720" w:hanging="360"/>
        <w:rPr>
          <w:rFonts w:ascii="Times New Roman" w:cs="Times New Roman" w:eastAsia="Times New Roman" w:hAnsi="Times New Roman"/>
          <w:b w:val="1"/>
          <w:bCs w:val="1"/>
          <w:sz w:val="24"/>
          <w:szCs w:val="24"/>
        </w:rPr>
      </w:pPr>
      <w:bookmarkStart w:colFirst="0" w:colLast="0" w:name="_5b6ljycubu4y" w:id="14"/>
      <w:bookmarkEnd w:id="14"/>
      <w:r w:rsidDel="00000000" w:rsidR="00000000" w:rsidRPr="00000000">
        <w:rPr>
          <w:rFonts w:ascii="Times New Roman" w:cs="Times New Roman" w:eastAsia="Times New Roman" w:hAnsi="Times New Roman"/>
          <w:b w:val="1"/>
          <w:bCs w:val="1"/>
          <w:sz w:val="24"/>
          <w:szCs w:val="24"/>
          <w:rtl w:val="0"/>
        </w:rPr>
        <w:t xml:space="preserve">The Major Players</w:t>
      </w:r>
    </w:p>
    <w:p w:rsidR="00000000" w:rsidDel="00000000" w:rsidP="00000000" w:rsidRDefault="00000000" w:rsidRPr="00000000" w14:paraId="00000024">
      <w:pPr>
        <w:pStyle w:val="Heading3"/>
        <w:numPr>
          <w:ilvl w:val="1"/>
          <w:numId w:val="1"/>
        </w:numPr>
        <w:spacing w:after="0" w:before="0" w:line="480" w:lineRule="auto"/>
        <w:ind w:left="1440" w:hanging="360"/>
        <w:rPr>
          <w:rFonts w:ascii="Times New Roman" w:cs="Times New Roman" w:eastAsia="Times New Roman" w:hAnsi="Times New Roman"/>
          <w:color w:val="000000"/>
          <w:sz w:val="24"/>
          <w:szCs w:val="24"/>
        </w:rPr>
      </w:pPr>
      <w:bookmarkStart w:colFirst="0" w:colLast="0" w:name="_v9zerzph5zos" w:id="15"/>
      <w:bookmarkEnd w:id="15"/>
      <w:r w:rsidDel="00000000" w:rsidR="00000000" w:rsidRPr="00000000">
        <w:rPr>
          <w:rFonts w:ascii="Times New Roman" w:cs="Times New Roman" w:eastAsia="Times New Roman" w:hAnsi="Times New Roman"/>
          <w:color w:val="000000"/>
          <w:sz w:val="24"/>
          <w:szCs w:val="24"/>
          <w:rtl w:val="0"/>
        </w:rPr>
        <w:t xml:space="preserve">Private Companies</w:t>
      </w:r>
    </w:p>
    <w:p w:rsidR="00000000" w:rsidDel="00000000" w:rsidP="00000000" w:rsidRDefault="00000000" w:rsidRPr="00000000" w14:paraId="00000025">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race to develop AGI is primarily led by several key technology companies, each with unique approaches. OpenAI, with CEO Sam Altman, aims to achieve AGI within five years and is building dedicated data centers to support this goal.</w:t>
      </w:r>
      <w:r w:rsidDel="00000000" w:rsidR="00000000" w:rsidRPr="00000000">
        <w:rPr>
          <w:rFonts w:ascii="Times New Roman" w:cs="Times New Roman" w:eastAsia="Times New Roman" w:hAnsi="Times New Roman"/>
          <w:sz w:val="24"/>
          <w:szCs w:val="24"/>
          <w:vertAlign w:val="superscript"/>
        </w:rPr>
        <w:footnoteReference w:customMarkFollows="0" w:id="30"/>
      </w:r>
      <w:r w:rsidDel="00000000" w:rsidR="00000000" w:rsidRPr="00000000">
        <w:rPr>
          <w:rFonts w:ascii="Times New Roman" w:cs="Times New Roman" w:eastAsia="Times New Roman" w:hAnsi="Times New Roman"/>
          <w:sz w:val="24"/>
          <w:szCs w:val="24"/>
          <w:rtl w:val="0"/>
        </w:rPr>
        <w:t xml:space="preserve"> Microsoft has heavily invested in OpenAI, integrating advanced AI models across its product ecosystem.</w:t>
      </w:r>
      <w:r w:rsidDel="00000000" w:rsidR="00000000" w:rsidRPr="00000000">
        <w:rPr>
          <w:rFonts w:ascii="Times New Roman" w:cs="Times New Roman" w:eastAsia="Times New Roman" w:hAnsi="Times New Roman"/>
          <w:sz w:val="24"/>
          <w:szCs w:val="24"/>
          <w:vertAlign w:val="superscript"/>
        </w:rPr>
        <w:footnoteReference w:customMarkFollows="0" w:id="31"/>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6">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Anthropic, founded by former OpenAI researchers, focuses on AI safety and ethics, with CEO Dario Amodei predicting AGI by 2026 or 2027.</w:t>
      </w:r>
      <w:r w:rsidDel="00000000" w:rsidR="00000000" w:rsidRPr="00000000">
        <w:rPr>
          <w:rFonts w:ascii="Times New Roman" w:cs="Times New Roman" w:eastAsia="Times New Roman" w:hAnsi="Times New Roman"/>
          <w:sz w:val="24"/>
          <w:szCs w:val="24"/>
          <w:vertAlign w:val="superscript"/>
        </w:rPr>
        <w:footnoteReference w:customMarkFollows="0" w:id="32"/>
      </w:r>
      <w:r w:rsidDel="00000000" w:rsidR="00000000" w:rsidRPr="00000000">
        <w:rPr>
          <w:rFonts w:ascii="Times New Roman" w:cs="Times New Roman" w:eastAsia="Times New Roman" w:hAnsi="Times New Roman"/>
          <w:sz w:val="24"/>
          <w:szCs w:val="24"/>
          <w:rtl w:val="0"/>
        </w:rPr>
        <w:t xml:space="preserve"> Meta, led by Mark Zuckerberg, envisions an open and responsible approach to AGI, investing substantially in AI infrastructure and developing models like Llama 3.</w:t>
      </w:r>
      <w:r w:rsidDel="00000000" w:rsidR="00000000" w:rsidRPr="00000000">
        <w:rPr>
          <w:rFonts w:ascii="Times New Roman" w:cs="Times New Roman" w:eastAsia="Times New Roman" w:hAnsi="Times New Roman"/>
          <w:sz w:val="24"/>
          <w:szCs w:val="24"/>
          <w:vertAlign w:val="superscript"/>
        </w:rPr>
        <w:footnoteReference w:customMarkFollows="0" w:id="33"/>
      </w:r>
      <w:r w:rsidDel="00000000" w:rsidR="00000000" w:rsidRPr="00000000">
        <w:rPr>
          <w:rtl w:val="0"/>
        </w:rPr>
      </w:r>
    </w:p>
    <w:p w:rsidR="00000000" w:rsidDel="00000000" w:rsidP="00000000" w:rsidRDefault="00000000" w:rsidRPr="00000000" w14:paraId="00000027">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Google's DeepMind, under CEO Demis Hassabis, sees AGI potentially emerging within a decade.</w:t>
      </w:r>
      <w:r w:rsidDel="00000000" w:rsidR="00000000" w:rsidRPr="00000000">
        <w:rPr>
          <w:rFonts w:ascii="Times New Roman" w:cs="Times New Roman" w:eastAsia="Times New Roman" w:hAnsi="Times New Roman"/>
          <w:sz w:val="24"/>
          <w:szCs w:val="24"/>
          <w:vertAlign w:val="superscript"/>
        </w:rPr>
        <w:footnoteReference w:customMarkFollows="0" w:id="34"/>
      </w:r>
      <w:r w:rsidDel="00000000" w:rsidR="00000000" w:rsidRPr="00000000">
        <w:rPr>
          <w:rFonts w:ascii="Times New Roman" w:cs="Times New Roman" w:eastAsia="Times New Roman" w:hAnsi="Times New Roman"/>
          <w:sz w:val="24"/>
          <w:szCs w:val="24"/>
          <w:rtl w:val="0"/>
        </w:rPr>
        <w:t xml:space="preserve"> Their groundbreaking AlphaFold project, which accurately predicts protein structures, exemplifies their approach to solving complex problems and advancing towards more generalized AI capabilities.</w:t>
      </w:r>
      <w:r w:rsidDel="00000000" w:rsidR="00000000" w:rsidRPr="00000000">
        <w:rPr>
          <w:rFonts w:ascii="Times New Roman" w:cs="Times New Roman" w:eastAsia="Times New Roman" w:hAnsi="Times New Roman"/>
          <w:sz w:val="24"/>
          <w:szCs w:val="24"/>
          <w:vertAlign w:val="superscript"/>
        </w:rPr>
        <w:footnoteReference w:customMarkFollows="0" w:id="35"/>
      </w:r>
      <w:r w:rsidDel="00000000" w:rsidR="00000000" w:rsidRPr="00000000">
        <w:rPr>
          <w:rFonts w:ascii="Times New Roman" w:cs="Times New Roman" w:eastAsia="Times New Roman" w:hAnsi="Times New Roman"/>
          <w:sz w:val="24"/>
          <w:szCs w:val="24"/>
          <w:rtl w:val="0"/>
        </w:rPr>
        <w:t xml:space="preserve"> The success of AlphaFold exemplifies DeepMind's approach to tackling complex scientific problems, reflecting its broader mission to develop AI systems with general problem-solving abilities—a foundational aspect of AGI. By applying AI to intricate scientific challenges, DeepMind not only contributes to immediate scientific advancements but also gains insights into creating more generalized AI systems, thereby advancing the pursuit of AGI.</w:t>
      </w:r>
      <w:r w:rsidDel="00000000" w:rsidR="00000000" w:rsidRPr="00000000">
        <w:rPr>
          <w:rFonts w:ascii="Times New Roman" w:cs="Times New Roman" w:eastAsia="Times New Roman" w:hAnsi="Times New Roman"/>
          <w:sz w:val="24"/>
          <w:szCs w:val="24"/>
          <w:vertAlign w:val="superscript"/>
        </w:rPr>
        <w:footnoteReference w:customMarkFollows="0" w:id="36"/>
      </w:r>
      <w:r w:rsidDel="00000000" w:rsidR="00000000" w:rsidRPr="00000000">
        <w:rPr>
          <w:rtl w:val="0"/>
        </w:rPr>
      </w:r>
    </w:p>
    <w:p w:rsidR="00000000" w:rsidDel="00000000" w:rsidP="00000000" w:rsidRDefault="00000000" w:rsidRPr="00000000" w14:paraId="00000028">
      <w:pPr>
        <w:pStyle w:val="Heading3"/>
        <w:numPr>
          <w:ilvl w:val="1"/>
          <w:numId w:val="1"/>
        </w:numPr>
        <w:spacing w:after="0" w:before="0" w:line="480" w:lineRule="auto"/>
        <w:ind w:left="1440" w:hanging="360"/>
        <w:rPr>
          <w:rFonts w:ascii="Times New Roman" w:cs="Times New Roman" w:eastAsia="Times New Roman" w:hAnsi="Times New Roman"/>
          <w:color w:val="000000"/>
          <w:sz w:val="24"/>
          <w:szCs w:val="24"/>
        </w:rPr>
      </w:pPr>
      <w:bookmarkStart w:colFirst="0" w:colLast="0" w:name="_seq5wn57jim3" w:id="16"/>
      <w:bookmarkEnd w:id="16"/>
      <w:r w:rsidDel="00000000" w:rsidR="00000000" w:rsidRPr="00000000">
        <w:rPr>
          <w:rFonts w:ascii="Times New Roman" w:cs="Times New Roman" w:eastAsia="Times New Roman" w:hAnsi="Times New Roman"/>
          <w:color w:val="000000"/>
          <w:sz w:val="24"/>
          <w:szCs w:val="24"/>
          <w:rtl w:val="0"/>
        </w:rPr>
        <w:t xml:space="preserve">Countries</w:t>
      </w:r>
    </w:p>
    <w:p w:rsidR="00000000" w:rsidDel="00000000" w:rsidP="00000000" w:rsidRDefault="00000000" w:rsidRPr="00000000" w14:paraId="00000029">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Almost every key private player is based in the United States or the United Kingdom. However, beyond private companies, other countries are relevant participants in the race to develop AGI. In 2017, China announced its intentions to pursue an ambitious program of domestic AI development, with the goal of becoming the world’s “major AI innovation center” by 2030. Following its 2017 plan, China had already ranked number one globally in terms of the number of research papers on AI and the number of AI related patents. China has rapidly deployed AI-use in civilian, military and national security contexts.</w:t>
      </w:r>
      <w:r w:rsidDel="00000000" w:rsidR="00000000" w:rsidRPr="00000000">
        <w:rPr>
          <w:rFonts w:ascii="Times New Roman" w:cs="Times New Roman" w:eastAsia="Times New Roman" w:hAnsi="Times New Roman"/>
          <w:sz w:val="24"/>
          <w:szCs w:val="24"/>
          <w:vertAlign w:val="superscript"/>
        </w:rPr>
        <w:footnoteReference w:customMarkFollows="0" w:id="37"/>
      </w:r>
      <w:r w:rsidDel="00000000" w:rsidR="00000000" w:rsidRPr="00000000">
        <w:rPr>
          <w:rFonts w:ascii="Times New Roman" w:cs="Times New Roman" w:eastAsia="Times New Roman" w:hAnsi="Times New Roman"/>
          <w:sz w:val="24"/>
          <w:szCs w:val="24"/>
          <w:rtl w:val="0"/>
        </w:rPr>
        <w:t xml:space="preserve"> In May 2024, the Biden administration sent officials from the White House and State and Commerce Departments, the White House National Security Council to speak with Chinese officials about AI safety issues. One Biden administration official noted that Washington and Beijing were competing to shape the rules on AI, but were hoping through the visit to explore whether some rules could be "embraced by all countries."</w:t>
      </w:r>
      <w:r w:rsidDel="00000000" w:rsidR="00000000" w:rsidRPr="00000000">
        <w:rPr>
          <w:rFonts w:ascii="Times New Roman" w:cs="Times New Roman" w:eastAsia="Times New Roman" w:hAnsi="Times New Roman"/>
          <w:sz w:val="24"/>
          <w:szCs w:val="24"/>
          <w:vertAlign w:val="superscript"/>
        </w:rPr>
        <w:footnoteReference w:customMarkFollows="0" w:id="38"/>
      </w:r>
      <w:r w:rsidDel="00000000" w:rsidR="00000000" w:rsidRPr="00000000">
        <w:rPr>
          <w:rtl w:val="0"/>
        </w:rPr>
      </w:r>
    </w:p>
    <w:p w:rsidR="00000000" w:rsidDel="00000000" w:rsidP="00000000" w:rsidRDefault="00000000" w:rsidRPr="00000000" w14:paraId="0000002A">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Russia has also been developing AI, particularly for use in combat. Russian military strategy recognizes both the current necessity of human involvement and the future potential of autonomous technologies in warfare. While anticipating a technological trajectory where machines may eventually replace human operators, the current military doctrine maintains that human oversight remains crucial. The Russian Ministry of Defense is actively investing in unmanned systems across air, maritime, and ground domains, mirroring global military technological trends.</w:t>
      </w:r>
    </w:p>
    <w:p w:rsidR="00000000" w:rsidDel="00000000" w:rsidP="00000000" w:rsidRDefault="00000000" w:rsidRPr="00000000" w14:paraId="0000002B">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Russia has also been emphasizing the use of AI in information and cyber operations.The Russian government is pursuing a more centralized approach for AI development. This approach involves mandating closer collaboration between military and civilian sectors, creating a more centralized and coordinated AI innovation ecosystem. The Russian military is particularly focusing on enhancing the capabilities of autonomous weapon systems through AI integration. This includes equipping loitering munitions, aerial drones, and ground-based robotic platforms with advanced AI technologies. Additionally, the military is exploring potential AI applications in information warfare and cyber operations, seeking to leverage intelligent systems for strategic and tactical advantages.</w:t>
      </w:r>
      <w:r w:rsidDel="00000000" w:rsidR="00000000" w:rsidRPr="00000000">
        <w:rPr>
          <w:rFonts w:ascii="Times New Roman" w:cs="Times New Roman" w:eastAsia="Times New Roman" w:hAnsi="Times New Roman"/>
          <w:sz w:val="24"/>
          <w:szCs w:val="24"/>
          <w:vertAlign w:val="superscript"/>
        </w:rPr>
        <w:footnoteReference w:customMarkFollows="0" w:id="39"/>
      </w:r>
      <w:r w:rsidDel="00000000" w:rsidR="00000000" w:rsidRPr="00000000">
        <w:rPr>
          <w:rtl w:val="0"/>
        </w:rPr>
      </w:r>
    </w:p>
    <w:p w:rsidR="00000000" w:rsidDel="00000000" w:rsidP="00000000" w:rsidRDefault="00000000" w:rsidRPr="00000000" w14:paraId="0000002C">
      <w:pPr>
        <w:pStyle w:val="Heading1"/>
        <w:numPr>
          <w:ilvl w:val="0"/>
          <w:numId w:val="1"/>
        </w:numPr>
        <w:spacing w:after="0" w:before="0" w:line="480" w:lineRule="auto"/>
        <w:ind w:left="720" w:hanging="360"/>
        <w:rPr>
          <w:rFonts w:ascii="Times New Roman" w:cs="Times New Roman" w:eastAsia="Times New Roman" w:hAnsi="Times New Roman"/>
          <w:b w:val="1"/>
          <w:bCs w:val="1"/>
          <w:sz w:val="24"/>
          <w:szCs w:val="24"/>
        </w:rPr>
      </w:pPr>
      <w:bookmarkStart w:colFirst="0" w:colLast="0" w:name="_w1312hgncr82" w:id="17"/>
      <w:bookmarkEnd w:id="17"/>
      <w:r w:rsidDel="00000000" w:rsidR="00000000" w:rsidRPr="00000000">
        <w:rPr>
          <w:rFonts w:ascii="Times New Roman" w:cs="Times New Roman" w:eastAsia="Times New Roman" w:hAnsi="Times New Roman"/>
          <w:b w:val="1"/>
          <w:bCs w:val="1"/>
          <w:sz w:val="24"/>
          <w:szCs w:val="24"/>
          <w:rtl w:val="0"/>
        </w:rPr>
        <w:t xml:space="preserve">Cooperation</w:t>
      </w:r>
    </w:p>
    <w:p w:rsidR="00000000" w:rsidDel="00000000" w:rsidP="00000000" w:rsidRDefault="00000000" w:rsidRPr="00000000" w14:paraId="0000002D">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r900m1c0g07w" w:id="18"/>
      <w:bookmarkEnd w:id="18"/>
      <w:r w:rsidDel="00000000" w:rsidR="00000000" w:rsidRPr="00000000">
        <w:rPr>
          <w:rFonts w:ascii="Times New Roman" w:cs="Times New Roman" w:eastAsia="Times New Roman" w:hAnsi="Times New Roman"/>
          <w:sz w:val="24"/>
          <w:szCs w:val="24"/>
          <w:rtl w:val="0"/>
        </w:rPr>
        <w:t xml:space="preserve">Why Is International Cooperation Necessary?</w:t>
      </w:r>
      <w:r w:rsidDel="00000000" w:rsidR="00000000" w:rsidRPr="00000000">
        <w:rPr>
          <w:rtl w:val="0"/>
        </w:rPr>
      </w:r>
    </w:p>
    <w:p w:rsidR="00000000" w:rsidDel="00000000" w:rsidP="00000000" w:rsidRDefault="00000000" w:rsidRPr="00000000" w14:paraId="0000002E">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Nations and corporations are currently racing to achieve breakthroughs in AGI. This high-stakes pursuit is fundamentally driven by substantial economic incentives, where early innovators anticipate significant financial rewards and strategic advantages. However, this competitive landscape creates an environment that potentially prioritizes speed over safety, risking the deployment of inadequately tested AI systems.</w:t>
      </w:r>
    </w:p>
    <w:p w:rsidR="00000000" w:rsidDel="00000000" w:rsidP="00000000" w:rsidRDefault="00000000" w:rsidRPr="00000000" w14:paraId="0000002F">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abrupt removal of Sam Altman from his position as CEO of OpenAI in November 2023 underscores the inherent challenges of entrusting AI safety to private sector entities. OpenAI, initially established as a nonprofit organization dedicated to the safe and ethical advancement of AI, transitioned to a for-profit model under Altman's leadership to attract substantial investments, notably from Microsoft. This shift intensified internal tensions between the company's commercial objectives and its foundational commitment to AI safety. Reports suggest that Altman's dismissal was influenced by concerns over the rapid pace of AI development and the potential neglect of safety protocols, highlighting a significant internal divide.</w:t>
      </w:r>
      <w:r w:rsidDel="00000000" w:rsidR="00000000" w:rsidRPr="00000000">
        <w:rPr>
          <w:rFonts w:ascii="Times New Roman" w:cs="Times New Roman" w:eastAsia="Times New Roman" w:hAnsi="Times New Roman"/>
          <w:sz w:val="24"/>
          <w:szCs w:val="24"/>
          <w:vertAlign w:val="superscript"/>
        </w:rPr>
        <w:footnoteReference w:customMarkFollows="0" w:id="40"/>
      </w:r>
      <w:r w:rsidDel="00000000" w:rsidR="00000000" w:rsidRPr="00000000">
        <w:rPr>
          <w:rFonts w:ascii="Times New Roman" w:cs="Times New Roman" w:eastAsia="Times New Roman" w:hAnsi="Times New Roman"/>
          <w:sz w:val="24"/>
          <w:szCs w:val="24"/>
          <w:rtl w:val="0"/>
        </w:rPr>
        <w:t xml:space="preserve"> Although Altman was swiftly reinstated following widespread employee protests and investor pressure, the incident reveals the private sector's susceptibility to prioritizing profit and competitive advantage over ethical considerations and safety measures.</w:t>
      </w:r>
      <w:r w:rsidDel="00000000" w:rsidR="00000000" w:rsidRPr="00000000">
        <w:rPr>
          <w:rFonts w:ascii="Times New Roman" w:cs="Times New Roman" w:eastAsia="Times New Roman" w:hAnsi="Times New Roman"/>
          <w:sz w:val="24"/>
          <w:szCs w:val="24"/>
          <w:vertAlign w:val="superscript"/>
        </w:rPr>
        <w:footnoteReference w:customMarkFollows="0" w:id="41"/>
      </w:r>
      <w:r w:rsidDel="00000000" w:rsidR="00000000" w:rsidRPr="00000000">
        <w:rPr>
          <w:rFonts w:ascii="Times New Roman" w:cs="Times New Roman" w:eastAsia="Times New Roman" w:hAnsi="Times New Roman"/>
          <w:sz w:val="24"/>
          <w:szCs w:val="24"/>
          <w:rtl w:val="0"/>
        </w:rPr>
        <w:t xml:space="preserve"> This event illustrates the critical need for robust international regulatory frameworks to ensure that AI development aligns with global safety standards and ethical norms, rather than being driven solely by market forces and corporate interests.</w:t>
      </w:r>
      <w:r w:rsidDel="00000000" w:rsidR="00000000" w:rsidRPr="00000000">
        <w:rPr>
          <w:rFonts w:ascii="Times New Roman" w:cs="Times New Roman" w:eastAsia="Times New Roman" w:hAnsi="Times New Roman"/>
          <w:sz w:val="24"/>
          <w:szCs w:val="24"/>
          <w:vertAlign w:val="superscript"/>
        </w:rPr>
        <w:footnoteReference w:customMarkFollows="0" w:id="42"/>
      </w:r>
      <w:r w:rsidDel="00000000" w:rsidR="00000000" w:rsidRPr="00000000">
        <w:rPr>
          <w:rtl w:val="0"/>
        </w:rPr>
      </w:r>
    </w:p>
    <w:p w:rsidR="00000000" w:rsidDel="00000000" w:rsidP="00000000" w:rsidRDefault="00000000" w:rsidRPr="00000000" w14:paraId="00000030">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absence of a unified international regulatory framework presents an important challenge. Individual countries and companies face strong disincentives against unilateral restrictions, as such actions could create competitive disadvantages. This scenario mirrors the prisoner's dilemma, where self-interested actors may choose strategies that ultimately produce suboptimal collective outcomes. Without mutual agreements, the independent pursuit of technological supremacy could compromise broader safety and ethical considerations.</w:t>
      </w:r>
    </w:p>
    <w:p w:rsidR="00000000" w:rsidDel="00000000" w:rsidP="00000000" w:rsidRDefault="00000000" w:rsidRPr="00000000" w14:paraId="00000031">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promise of immediate economic gains creates powerful incentives for rapid AI development, often overshadowing comprehensive safety evaluations and precautions. The potential for substantial profits can eclipse long-term risks, including unintended harmful consequences and the erosion of public trust. This profit-driven momentum underscores the urgent need for coordinated international regulation that can align individual incentives with collective safety and ethical standards.</w:t>
      </w:r>
    </w:p>
    <w:p w:rsidR="00000000" w:rsidDel="00000000" w:rsidP="00000000" w:rsidRDefault="00000000" w:rsidRPr="00000000" w14:paraId="00000032">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of the greatest obstacles to international AI regulation is the misalignment of national incentives. While cooperation is necessary to prevent catastrophic misuse, many nations see AI development as a key driver of economic growth, military power, and geopolitical influence. Countries that achieve technological superiority in AI could dominate global markets, enhance their cybersecurity capabilities, and strengthen their military forces through autonomous weaponry and intelligence applications. In this context, why would a leading AI power voluntarily limit itself through international agreements? Given these challenges, various experts have proposed frameworks for AI regulation. Below, I examine some of the most prominent proposals.</w:t>
      </w:r>
    </w:p>
    <w:p w:rsidR="00000000" w:rsidDel="00000000" w:rsidP="00000000" w:rsidRDefault="00000000" w:rsidRPr="00000000" w14:paraId="00000033">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frtxos8he02f" w:id="19"/>
      <w:bookmarkEnd w:id="19"/>
      <w:r w:rsidDel="00000000" w:rsidR="00000000" w:rsidRPr="00000000">
        <w:rPr>
          <w:rFonts w:ascii="Times New Roman" w:cs="Times New Roman" w:eastAsia="Times New Roman" w:hAnsi="Times New Roman"/>
          <w:sz w:val="24"/>
          <w:szCs w:val="24"/>
          <w:rtl w:val="0"/>
        </w:rPr>
        <w:t xml:space="preserve">Some Proposals for International Regulation</w:t>
      </w:r>
    </w:p>
    <w:p w:rsidR="00000000" w:rsidDel="00000000" w:rsidP="00000000" w:rsidRDefault="00000000" w:rsidRPr="00000000" w14:paraId="00000034">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Many experts in AI safety and organizations dedicated to mitigating technological risks have emphasized the urgent need for international coordination and treaties to address the challenges posed by advanced AI systems. Connor Leahy has pushed for an internationally binding moratorium on advanced AI research through a "compute cap" mechanism.</w:t>
      </w:r>
      <w:r w:rsidDel="00000000" w:rsidR="00000000" w:rsidRPr="00000000">
        <w:rPr>
          <w:rFonts w:ascii="Times New Roman" w:cs="Times New Roman" w:eastAsia="Times New Roman" w:hAnsi="Times New Roman"/>
          <w:sz w:val="24"/>
          <w:szCs w:val="24"/>
          <w:vertAlign w:val="superscript"/>
        </w:rPr>
        <w:footnoteReference w:customMarkFollows="0" w:id="43"/>
      </w:r>
      <w:r w:rsidDel="00000000" w:rsidR="00000000" w:rsidRPr="00000000">
        <w:rPr>
          <w:rFonts w:ascii="Times New Roman" w:cs="Times New Roman" w:eastAsia="Times New Roman" w:hAnsi="Times New Roman"/>
          <w:sz w:val="24"/>
          <w:szCs w:val="24"/>
          <w:rtl w:val="0"/>
        </w:rPr>
        <w:t xml:space="preserve"> This strategy would function similarly to non-proliferation treaties, establishing a collective agreement to limit the scale of computational resources and experimental AI projects. By constraining the computing power used in AI research for a specified period, we may create a global pause that could help prevent unchecked technological advancement and provide an opportunity for comprehensive safety and ethical assessments.</w:t>
      </w:r>
      <w:r w:rsidDel="00000000" w:rsidR="00000000" w:rsidRPr="00000000">
        <w:rPr>
          <w:rFonts w:ascii="Times New Roman" w:cs="Times New Roman" w:eastAsia="Times New Roman" w:hAnsi="Times New Roman"/>
          <w:sz w:val="24"/>
          <w:szCs w:val="24"/>
          <w:vertAlign w:val="superscript"/>
        </w:rPr>
        <w:footnoteReference w:customMarkFollows="0" w:id="44"/>
      </w:r>
      <w:r w:rsidDel="00000000" w:rsidR="00000000" w:rsidRPr="00000000">
        <w:rPr>
          <w:rtl w:val="0"/>
        </w:rPr>
      </w:r>
    </w:p>
    <w:p w:rsidR="00000000" w:rsidDel="00000000" w:rsidP="00000000" w:rsidRDefault="00000000" w:rsidRPr="00000000" w14:paraId="00000035">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Otto Barten, director of the Existential Risk Observatory, argues that the rapid development of AI, especially the pursuit of AGI, poses an existential risk to humanity due to the potential loss of control over such systems.</w:t>
      </w:r>
      <w:r w:rsidDel="00000000" w:rsidR="00000000" w:rsidRPr="00000000">
        <w:rPr>
          <w:rFonts w:ascii="Times New Roman" w:cs="Times New Roman" w:eastAsia="Times New Roman" w:hAnsi="Times New Roman"/>
          <w:sz w:val="24"/>
          <w:szCs w:val="24"/>
          <w:vertAlign w:val="superscript"/>
        </w:rPr>
        <w:footnoteReference w:customMarkFollows="0" w:id="45"/>
      </w:r>
      <w:r w:rsidDel="00000000" w:rsidR="00000000" w:rsidRPr="00000000">
        <w:rPr>
          <w:rFonts w:ascii="Times New Roman" w:cs="Times New Roman" w:eastAsia="Times New Roman" w:hAnsi="Times New Roman"/>
          <w:sz w:val="24"/>
          <w:szCs w:val="24"/>
          <w:rtl w:val="0"/>
        </w:rPr>
        <w:t xml:space="preserve"> He critiques existing AI safety strategies, such as alignment, for being insufficient and proposes a "Conditional AI Safety Treaty." This treaty would require signatory nations, particularly major AI developers like the U.S. and China, to halt unsafe AI development once capabilities approach dangerous thresholds. Barten emphasizes the need for independent AI safety institutes to assess and regulate these risks, suggesting that narrowly focused AI applications could continue unhindered under such a framework.</w:t>
      </w:r>
      <w:r w:rsidDel="00000000" w:rsidR="00000000" w:rsidRPr="00000000">
        <w:rPr>
          <w:rFonts w:ascii="Times New Roman" w:cs="Times New Roman" w:eastAsia="Times New Roman" w:hAnsi="Times New Roman"/>
          <w:sz w:val="24"/>
          <w:szCs w:val="24"/>
          <w:vertAlign w:val="superscript"/>
        </w:rPr>
        <w:footnoteReference w:customMarkFollows="0" w:id="46"/>
      </w:r>
      <w:r w:rsidDel="00000000" w:rsidR="00000000" w:rsidRPr="00000000">
        <w:rPr>
          <w:rFonts w:ascii="Times New Roman" w:cs="Times New Roman" w:eastAsia="Times New Roman" w:hAnsi="Times New Roman"/>
          <w:sz w:val="24"/>
          <w:szCs w:val="24"/>
          <w:rtl w:val="0"/>
        </w:rPr>
        <w:t xml:space="preserve"> He highlights the geopolitical and economic challenges of enforcing international cooperation but insists that such measures are essential to mitigate the existential threats posed by AGI, framing the treaty as a pragmatic and necessary step to balance innovation with safety.</w:t>
      </w:r>
      <w:r w:rsidDel="00000000" w:rsidR="00000000" w:rsidRPr="00000000">
        <w:rPr>
          <w:rFonts w:ascii="Times New Roman" w:cs="Times New Roman" w:eastAsia="Times New Roman" w:hAnsi="Times New Roman"/>
          <w:sz w:val="24"/>
          <w:szCs w:val="24"/>
          <w:vertAlign w:val="superscript"/>
        </w:rPr>
        <w:footnoteReference w:customMarkFollows="0" w:id="47"/>
      </w:r>
      <w:r w:rsidDel="00000000" w:rsidR="00000000" w:rsidRPr="00000000">
        <w:rPr>
          <w:rtl w:val="0"/>
        </w:rPr>
      </w:r>
    </w:p>
    <w:p w:rsidR="00000000" w:rsidDel="00000000" w:rsidP="00000000" w:rsidRDefault="00000000" w:rsidRPr="00000000" w14:paraId="00000036">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Eliezer Yudkowsky, a decision theorist and AI safety expert, argues that the risks posed by AGI are so extreme that a temporary pause on AI development, as proposed in an open letter, is insufficient. He contends that current AI research is advancing far faster than our ability to ensure safety, leaving humanity unprepared to manage the potentially catastrophic consequences of a superintelligent AI. Yudkowsky calls for an indefinite and global halt to large-scale AI training, asserting that the stakes—human extinction—are too high to proceed without guaranteed safety measures. He critiques the AI industry for lacking a clear plan and warns that continued progress without proper oversight risks irreversible consequences. Yudkowsky proposes stringent international agreements, including restrictions on computational power and global enforcement mechanisms, emphasizing the need for unprecedented collaboration to prevent disaster.</w:t>
      </w:r>
      <w:r w:rsidDel="00000000" w:rsidR="00000000" w:rsidRPr="00000000">
        <w:rPr>
          <w:rFonts w:ascii="Times New Roman" w:cs="Times New Roman" w:eastAsia="Times New Roman" w:hAnsi="Times New Roman"/>
          <w:sz w:val="24"/>
          <w:szCs w:val="24"/>
          <w:vertAlign w:val="superscript"/>
        </w:rPr>
        <w:footnoteReference w:customMarkFollows="0" w:id="48"/>
      </w:r>
      <w:r w:rsidDel="00000000" w:rsidR="00000000" w:rsidRPr="00000000">
        <w:rPr>
          <w:rtl w:val="0"/>
        </w:rPr>
      </w:r>
    </w:p>
    <w:p w:rsidR="00000000" w:rsidDel="00000000" w:rsidP="00000000" w:rsidRDefault="00000000" w:rsidRPr="00000000" w14:paraId="00000037">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rpfed6ql1ucg" w:id="20"/>
      <w:bookmarkEnd w:id="20"/>
      <w:r w:rsidDel="00000000" w:rsidR="00000000" w:rsidRPr="00000000">
        <w:rPr>
          <w:rFonts w:ascii="Times New Roman" w:cs="Times New Roman" w:eastAsia="Times New Roman" w:hAnsi="Times New Roman"/>
          <w:sz w:val="24"/>
          <w:szCs w:val="24"/>
          <w:rtl w:val="0"/>
        </w:rPr>
        <w:t xml:space="preserve">Why Is This Regulation Difficult?</w:t>
      </w:r>
    </w:p>
    <w:p w:rsidR="00000000" w:rsidDel="00000000" w:rsidP="00000000" w:rsidRDefault="00000000" w:rsidRPr="00000000" w14:paraId="00000038">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Regulating AI presents myriad challenges, deeply rooted in economic incentives, strategic behaviors, and inherent technological complexities.</w:t>
      </w:r>
    </w:p>
    <w:p w:rsidR="00000000" w:rsidDel="00000000" w:rsidP="00000000" w:rsidRDefault="00000000" w:rsidRPr="00000000" w14:paraId="00000039">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9qnvxib06q5f" w:id="21"/>
      <w:bookmarkEnd w:id="21"/>
      <w:r w:rsidDel="00000000" w:rsidR="00000000" w:rsidRPr="00000000">
        <w:rPr>
          <w:rFonts w:ascii="Times New Roman" w:cs="Times New Roman" w:eastAsia="Times New Roman" w:hAnsi="Times New Roman"/>
          <w:color w:val="000000"/>
          <w:sz w:val="24"/>
          <w:szCs w:val="24"/>
          <w:rtl w:val="0"/>
        </w:rPr>
        <w:t xml:space="preserve">Game Theory</w:t>
      </w:r>
    </w:p>
    <w:p w:rsidR="00000000" w:rsidDel="00000000" w:rsidP="00000000" w:rsidRDefault="00000000" w:rsidRPr="00000000" w14:paraId="0000003A">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absence of comprehensive global regulation, both private companies and nation-states are incentivized to achieve AGI supremacy. This drive is fueled by the substantial economic rewards and geopolitical advantages that come with being a leader in AI technology. Such dynamics mirror an arms race, where competitive pressures compel rapid AI advancements, often at the expense of thorough safety evaluations and ethical considerations. The perception of an AI arms race can lead to a "race to the bottom," where entities prioritize speed over safety, increasing the risk of deploying untested or unsafe AI systems.</w:t>
      </w:r>
    </w:p>
    <w:p w:rsidR="00000000" w:rsidDel="00000000" w:rsidP="00000000" w:rsidRDefault="00000000" w:rsidRPr="00000000" w14:paraId="0000003B">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AI industry is experiencing a transformative period marked by intensifying competition between smaller, innovative AI laboratories and established tech giants. Initially, companies like Microsoft and Amazon formed strategic partnerships with smaller labs such as OpenAI and Anthropic, providing essential computational resources in exchange for access to cutting-edge AI models. However, this collaborative dynamic is rapidly evolving, with tech giants now pivoting towards developing their own advanced AI technologies to reduce external dependencies and gain greater strategic control.</w:t>
      </w:r>
    </w:p>
    <w:p w:rsidR="00000000" w:rsidDel="00000000" w:rsidP="00000000" w:rsidRDefault="00000000" w:rsidRPr="00000000" w14:paraId="0000003C">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smaller labs currently lead with state-of-the-art models like GPT-4.5 and Claude 3.7 Sonnet, big tech firms possess significant structural advantages, including massive financial resources, extensive computational infrastructure, and long-term financial stability. This emerging landscape raises critical concerns about the potential concentration of AI development within a few corporate entities, potentially undermining the idealistic, mission-driven approaches that originally characterized smaller AI research organizations.</w:t>
      </w:r>
    </w:p>
    <w:p w:rsidR="00000000" w:rsidDel="00000000" w:rsidP="00000000" w:rsidRDefault="00000000" w:rsidRPr="00000000" w14:paraId="0000003D">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unfolding competition threatens to reshape not just the technological marketplace, but also the fundamental trajectory of AI development. There is a growing risk that corporate interests and market dynamics could overshadow broader societal considerations, potentially compromising efforts to ensure AI technologies are developed responsibly and with genuine public benefit in mind.</w:t>
      </w:r>
    </w:p>
    <w:p w:rsidR="00000000" w:rsidDel="00000000" w:rsidP="00000000" w:rsidRDefault="00000000" w:rsidRPr="00000000" w14:paraId="0000003E">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trajectory of the space race provides a useful analogy for understanding the stakes in AI development. Just as the United States and the Soviet Union competed for technological supremacy to showcase their geopolitical dominance, countries and companies are now racing to develop advanced AI capabilities. The winner in this race not only reaps immense economic rewards but also gains the power to shape the rules and norms that govern the technology globally. </w:t>
      </w:r>
      <w:r w:rsidDel="00000000" w:rsidR="00000000" w:rsidRPr="00000000">
        <w:rPr>
          <w:rFonts w:ascii="Times New Roman" w:cs="Times New Roman" w:eastAsia="Times New Roman" w:hAnsi="Times New Roman"/>
          <w:sz w:val="24"/>
          <w:szCs w:val="24"/>
          <w:rtl w:val="0"/>
        </w:rPr>
        <w:t xml:space="preserve">In space, the U.S. leveraged its early achievements to set norms for peaceful exploration and secure its position as a leader in the emerging space economy.</w:t>
      </w:r>
      <w:r w:rsidDel="00000000" w:rsidR="00000000" w:rsidRPr="00000000">
        <w:rPr>
          <w:rFonts w:ascii="Times New Roman" w:cs="Times New Roman" w:eastAsia="Times New Roman" w:hAnsi="Times New Roman"/>
          <w:sz w:val="24"/>
          <w:szCs w:val="24"/>
          <w:vertAlign w:val="superscript"/>
        </w:rPr>
        <w:footnoteReference w:customMarkFollows="0" w:id="49"/>
      </w:r>
      <w:r w:rsidDel="00000000" w:rsidR="00000000" w:rsidRPr="00000000">
        <w:rPr>
          <w:rFonts w:ascii="Times New Roman" w:cs="Times New Roman" w:eastAsia="Times New Roman" w:hAnsi="Times New Roman"/>
          <w:sz w:val="24"/>
          <w:szCs w:val="24"/>
          <w:rtl w:val="0"/>
        </w:rPr>
        <w:t xml:space="preserve"> Similarly, leading the AI race would enable a country or company to dictate policy on its use, security, and ethical considerations. This dynamic creates incentives for accelerated AI development, often at the expense of safety and long-term considerations, as actors prioritize being first over ensuring responsible innovation. To avoid repeating the pitfalls of unregulated competition, international cooperation in AI governance is essential.</w:t>
      </w:r>
    </w:p>
    <w:p w:rsidR="00000000" w:rsidDel="00000000" w:rsidP="00000000" w:rsidRDefault="00000000" w:rsidRPr="00000000" w14:paraId="0000003F">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s20wu2pxx642" w:id="22"/>
      <w:bookmarkEnd w:id="22"/>
      <w:r w:rsidDel="00000000" w:rsidR="00000000" w:rsidRPr="00000000">
        <w:rPr>
          <w:rFonts w:ascii="Times New Roman" w:cs="Times New Roman" w:eastAsia="Times New Roman" w:hAnsi="Times New Roman"/>
          <w:color w:val="000000"/>
          <w:sz w:val="24"/>
          <w:szCs w:val="24"/>
          <w:rtl w:val="0"/>
        </w:rPr>
        <w:t xml:space="preserve">AI is a Black Box</w:t>
      </w:r>
    </w:p>
    <w:p w:rsidR="00000000" w:rsidDel="00000000" w:rsidP="00000000" w:rsidRDefault="00000000" w:rsidRPr="00000000" w14:paraId="00000040">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 systems learn in ways that are similar to human brains. Simply showing a child enough examples of the letter B or a cat will allow them to identify any instance of that letter or animal. Essentially, our brains are excellent at finding patterns and trends.</w:t>
      </w:r>
      <w:r w:rsidDel="00000000" w:rsidR="00000000" w:rsidRPr="00000000">
        <w:rPr>
          <w:rFonts w:ascii="Times New Roman" w:cs="Times New Roman" w:eastAsia="Times New Roman" w:hAnsi="Times New Roman"/>
          <w:sz w:val="24"/>
          <w:szCs w:val="24"/>
          <w:vertAlign w:val="superscript"/>
        </w:rPr>
        <w:footnoteReference w:customMarkFollows="0" w:id="50"/>
      </w:r>
      <w:r w:rsidDel="00000000" w:rsidR="00000000" w:rsidRPr="00000000">
        <w:rPr>
          <w:rFonts w:ascii="Times New Roman" w:cs="Times New Roman" w:eastAsia="Times New Roman" w:hAnsi="Times New Roman"/>
          <w:sz w:val="24"/>
          <w:szCs w:val="24"/>
          <w:rtl w:val="0"/>
        </w:rPr>
        <w:t xml:space="preserve"> Samir Rawashdeh, a professor of electrical and computer engineering at The University of Michigan-Dearborn, noted how difficult it is to understand how our brains do it.</w:t>
      </w:r>
      <w:r w:rsidDel="00000000" w:rsidR="00000000" w:rsidRPr="00000000">
        <w:rPr>
          <w:rFonts w:ascii="Times New Roman" w:cs="Times New Roman" w:eastAsia="Times New Roman" w:hAnsi="Times New Roman"/>
          <w:sz w:val="24"/>
          <w:szCs w:val="24"/>
          <w:vertAlign w:val="superscript"/>
        </w:rPr>
        <w:footnoteReference w:customMarkFollows="0" w:id="51"/>
      </w:r>
      <w:r w:rsidDel="00000000" w:rsidR="00000000" w:rsidRPr="00000000">
        <w:rPr>
          <w:rFonts w:ascii="Times New Roman" w:cs="Times New Roman" w:eastAsia="Times New Roman" w:hAnsi="Times New Roman"/>
          <w:sz w:val="24"/>
          <w:szCs w:val="24"/>
          <w:rtl w:val="0"/>
        </w:rPr>
        <w:t xml:space="preserve"> Like our brains, we have very little understanding of how a deep learning system comes to its conclusions. This “black box” problem poses significant challenges for regulation, as it becomes difficult to predict AI behavior, identify biases, or ensure compliance with ethical standards. The lack of interpretability hampers accountability and complicates efforts to implement effective oversight mechanisms.</w:t>
      </w:r>
      <w:r w:rsidDel="00000000" w:rsidR="00000000" w:rsidRPr="00000000">
        <w:rPr>
          <w:rFonts w:ascii="Times New Roman" w:cs="Times New Roman" w:eastAsia="Times New Roman" w:hAnsi="Times New Roman"/>
          <w:sz w:val="24"/>
          <w:szCs w:val="24"/>
          <w:vertAlign w:val="superscript"/>
        </w:rPr>
        <w:footnoteReference w:customMarkFollows="0" w:id="52"/>
      </w:r>
      <w:r w:rsidDel="00000000" w:rsidR="00000000" w:rsidRPr="00000000">
        <w:rPr>
          <w:rtl w:val="0"/>
        </w:rPr>
      </w:r>
    </w:p>
    <w:p w:rsidR="00000000" w:rsidDel="00000000" w:rsidP="00000000" w:rsidRDefault="00000000" w:rsidRPr="00000000" w14:paraId="00000041">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eahirrckx3al" w:id="23"/>
      <w:bookmarkEnd w:id="23"/>
      <w:r w:rsidDel="00000000" w:rsidR="00000000" w:rsidRPr="00000000">
        <w:rPr>
          <w:rFonts w:ascii="Times New Roman" w:cs="Times New Roman" w:eastAsia="Times New Roman" w:hAnsi="Times New Roman"/>
          <w:color w:val="000000"/>
          <w:sz w:val="24"/>
          <w:szCs w:val="24"/>
          <w:rtl w:val="0"/>
        </w:rPr>
        <w:t xml:space="preserve">Regulatory Capture</w:t>
      </w:r>
    </w:p>
    <w:p w:rsidR="00000000" w:rsidDel="00000000" w:rsidP="00000000" w:rsidRDefault="00000000" w:rsidRPr="00000000" w14:paraId="00000042">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risk of regulatory capture is also a critical concern in AI governance. Regulations, while intended to ensure safety and ethical practices, can create significant barriers to entry for smaller players. These barriers include high compliance costs, licensing requirements, and the complexity of navigating regulatory frameworks.</w:t>
      </w:r>
      <w:r w:rsidDel="00000000" w:rsidR="00000000" w:rsidRPr="00000000">
        <w:rPr>
          <w:rFonts w:ascii="Times New Roman" w:cs="Times New Roman" w:eastAsia="Times New Roman" w:hAnsi="Times New Roman"/>
          <w:sz w:val="24"/>
          <w:szCs w:val="24"/>
          <w:vertAlign w:val="superscript"/>
        </w:rPr>
        <w:footnoteReference w:customMarkFollows="0" w:id="53"/>
      </w:r>
      <w:r w:rsidDel="00000000" w:rsidR="00000000" w:rsidRPr="00000000">
        <w:rPr>
          <w:rFonts w:ascii="Times New Roman" w:cs="Times New Roman" w:eastAsia="Times New Roman" w:hAnsi="Times New Roman"/>
          <w:sz w:val="24"/>
          <w:szCs w:val="24"/>
          <w:rtl w:val="0"/>
        </w:rPr>
        <w:t xml:space="preserve"> Established companies are better positioned to absorb these costs due to their larger revenue streams, economies of scale, and experience with regulatory systems. Influential technology corporations may exert disproportionate influence over regulatory frameworks, shaping them to favor their interests and potentially stifling competition. This can lead to lenient regulations that fail to address public concerns about AI safety, privacy, and ethical use. Ensuring that regulatory bodies remain independent and resistant to industry lobbying is essential for developing balanced and effective AI policies.</w:t>
      </w:r>
    </w:p>
    <w:p w:rsidR="00000000" w:rsidDel="00000000" w:rsidP="00000000" w:rsidRDefault="00000000" w:rsidRPr="00000000" w14:paraId="00000043">
      <w:pPr>
        <w:pStyle w:val="Heading1"/>
        <w:numPr>
          <w:ilvl w:val="0"/>
          <w:numId w:val="1"/>
        </w:numPr>
        <w:spacing w:after="0" w:before="0" w:line="480" w:lineRule="auto"/>
        <w:ind w:left="720" w:hanging="360"/>
        <w:rPr>
          <w:rFonts w:ascii="Times New Roman" w:cs="Times New Roman" w:eastAsia="Times New Roman" w:hAnsi="Times New Roman"/>
          <w:b w:val="1"/>
          <w:bCs w:val="1"/>
          <w:sz w:val="24"/>
          <w:szCs w:val="24"/>
        </w:rPr>
      </w:pPr>
      <w:bookmarkStart w:colFirst="0" w:colLast="0" w:name="_iavc6nqc63ez" w:id="24"/>
      <w:bookmarkEnd w:id="24"/>
      <w:r w:rsidDel="00000000" w:rsidR="00000000" w:rsidRPr="00000000">
        <w:rPr>
          <w:rFonts w:ascii="Times New Roman" w:cs="Times New Roman" w:eastAsia="Times New Roman" w:hAnsi="Times New Roman"/>
          <w:b w:val="1"/>
          <w:bCs w:val="1"/>
          <w:sz w:val="24"/>
          <w:szCs w:val="24"/>
          <w:rtl w:val="0"/>
        </w:rPr>
        <w:t xml:space="preserve">Current Controls on AI</w:t>
      </w:r>
    </w:p>
    <w:p w:rsidR="00000000" w:rsidDel="00000000" w:rsidP="00000000" w:rsidRDefault="00000000" w:rsidRPr="00000000" w14:paraId="00000044">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growing importance of AI in our world economy has certainly caught the attention of several national governments, and current regulations give us a sense of which AI-related issues are at the forefront of the discussion. </w:t>
      </w:r>
    </w:p>
    <w:p w:rsidR="00000000" w:rsidDel="00000000" w:rsidP="00000000" w:rsidRDefault="00000000" w:rsidRPr="00000000" w14:paraId="00000045">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oqtxklxx549z" w:id="25"/>
      <w:bookmarkEnd w:id="25"/>
      <w:r w:rsidDel="00000000" w:rsidR="00000000" w:rsidRPr="00000000">
        <w:rPr>
          <w:rFonts w:ascii="Times New Roman" w:cs="Times New Roman" w:eastAsia="Times New Roman" w:hAnsi="Times New Roman"/>
          <w:sz w:val="24"/>
          <w:szCs w:val="24"/>
          <w:rtl w:val="0"/>
        </w:rPr>
        <w:t xml:space="preserve">European Union</w:t>
      </w:r>
    </w:p>
    <w:p w:rsidR="00000000" w:rsidDel="00000000" w:rsidP="00000000" w:rsidRDefault="00000000" w:rsidRPr="00000000" w14:paraId="00000046">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April 2021, the European Commission proposed the first EU regulatory framework for AI. Parliament and Council adopted then approved the Act in early 2024. The Act says that AI systems that can be used in different applications are analysed and classified according to the risk they pose to users. The different risk levels will mean more or less regulation. In the “unacceptable risk” category are systems considered a threat to people and will be banned. Some examples of systems that fall into the unacceptable risk category are cognitive behavioural manipulation of people or specific vulnerable groups, and classifying people based on behaviour, socio-economic status or personal characteristics. “High risk” systems are AI systems that negatively affect safety or fundamental rights will be considered high risk and will be divided into two categories: 1) AI systems that are used in products falling under the EU’s product safety legislation (this includes toys, aviation, cars, medical devices and lifts), and 2) AI systems falling into specific areas that will have to be registered in an EU database (e.g. management and operation of critical infrastructure, education and vocational training, etc.). According to the EU AI Act, generative AI like ChatGPT is not classified as high risk, but will have to comply with transparency requirements and EU copyright law. For example, OpenAI will need to disclose that the content was generated by AI, design the model to prevent it from generating illegal content, and publish summaries of copyrighted data used for training.</w:t>
      </w:r>
      <w:r w:rsidDel="00000000" w:rsidR="00000000" w:rsidRPr="00000000">
        <w:rPr>
          <w:rFonts w:ascii="Times New Roman" w:cs="Times New Roman" w:eastAsia="Times New Roman" w:hAnsi="Times New Roman"/>
          <w:sz w:val="24"/>
          <w:szCs w:val="24"/>
          <w:vertAlign w:val="superscript"/>
        </w:rPr>
        <w:footnoteReference w:customMarkFollows="0" w:id="54"/>
      </w:r>
      <w:r w:rsidDel="00000000" w:rsidR="00000000" w:rsidRPr="00000000">
        <w:rPr>
          <w:rtl w:val="0"/>
        </w:rPr>
      </w:r>
    </w:p>
    <w:p w:rsidR="00000000" w:rsidDel="00000000" w:rsidP="00000000" w:rsidRDefault="00000000" w:rsidRPr="00000000" w14:paraId="00000047">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qqvtb0g89ob2" w:id="26"/>
      <w:bookmarkEnd w:id="26"/>
      <w:r w:rsidDel="00000000" w:rsidR="00000000" w:rsidRPr="00000000">
        <w:rPr>
          <w:rFonts w:ascii="Times New Roman" w:cs="Times New Roman" w:eastAsia="Times New Roman" w:hAnsi="Times New Roman"/>
          <w:sz w:val="24"/>
          <w:szCs w:val="24"/>
          <w:rtl w:val="0"/>
        </w:rPr>
        <w:t xml:space="preserve">U.S. Voluntary Codes of Conduct</w:t>
      </w:r>
    </w:p>
    <w:p w:rsidR="00000000" w:rsidDel="00000000" w:rsidP="00000000" w:rsidRDefault="00000000" w:rsidRPr="00000000" w14:paraId="00000048">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June 2023, seven AI companies (Amazon, Anthropic, Google, Inflection, Meta, Microsoft and OpenAI) formally made their commitment to new standards for safety, security and trust at a meeting with President Biden at the White House. To enhance safety and responsible development, the companies committed to a comprehensive approach. This included subjecting their technologies to rigorous security assessments conducted by independent experts, investigating potential biases and privacy implications, and maintaining open communication about emerging risks with governmental and organizational stakeholders. Additionally, they pledged to develop technological tools aimed at addressing critical societal challenges such as climate change, while implementing robust transparency protocols to clearly distinguish artificially generated content.</w:t>
      </w:r>
    </w:p>
    <w:p w:rsidR="00000000" w:rsidDel="00000000" w:rsidP="00000000" w:rsidRDefault="00000000" w:rsidRPr="00000000" w14:paraId="00000049">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o2cbc758sdfz" w:id="27"/>
      <w:bookmarkEnd w:id="27"/>
      <w:r w:rsidDel="00000000" w:rsidR="00000000" w:rsidRPr="00000000">
        <w:rPr>
          <w:rFonts w:ascii="Times New Roman" w:cs="Times New Roman" w:eastAsia="Times New Roman" w:hAnsi="Times New Roman"/>
          <w:sz w:val="24"/>
          <w:szCs w:val="24"/>
          <w:rtl w:val="0"/>
        </w:rPr>
        <w:t xml:space="preserve">Biden Executive Order</w:t>
      </w:r>
    </w:p>
    <w:p w:rsidR="00000000" w:rsidDel="00000000" w:rsidP="00000000" w:rsidRDefault="00000000" w:rsidRPr="00000000" w14:paraId="0000004A">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October 2023, Biden issued the Executive Order on the Safe, Secure, and Trustworthy Development and Use of Artificial Intelligence. The Executive Order on AI aims to ensure that the development and use of artificial intelligence advances innovation, competitiveness, and public well-being while protecting Americans’ safety, rights, and privacy. It calls for rigorous testing, evaluation, and standards to prevent dangerous applications, strengthen critical infrastructure security, and contain biosecurity risks. The order directs agencies to enforce civil rights and consumer protections, promote fairness in hiring and housing, and safeguard workers’ interests. It bolsters privacy by encouraging the use of privacy-enhancing technologies and labeling AI-generated content. The Executive Order also invests in Federal AI talent, training, and governance structures, leverages research funds and procurement practices to spur responsible innovation, and positions the U.S. as a global leader in shaping international AI norms. In essence, it crafts a comprehensive blueprint for harnessing AI’s benefits while mitigating its risks.</w:t>
      </w:r>
      <w:r w:rsidDel="00000000" w:rsidR="00000000" w:rsidRPr="00000000">
        <w:rPr>
          <w:rFonts w:ascii="Times New Roman" w:cs="Times New Roman" w:eastAsia="Times New Roman" w:hAnsi="Times New Roman"/>
          <w:sz w:val="24"/>
          <w:szCs w:val="24"/>
          <w:vertAlign w:val="superscript"/>
        </w:rPr>
        <w:footnoteReference w:customMarkFollows="0" w:id="55"/>
      </w:r>
      <w:r w:rsidDel="00000000" w:rsidR="00000000" w:rsidRPr="00000000">
        <w:rPr>
          <w:rtl w:val="0"/>
        </w:rPr>
      </w:r>
    </w:p>
    <w:p w:rsidR="00000000" w:rsidDel="00000000" w:rsidP="00000000" w:rsidRDefault="00000000" w:rsidRPr="00000000" w14:paraId="0000004B">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However, on January 23, 2025, President Trump effectively revoked this executive order with his own.</w:t>
      </w:r>
      <w:r w:rsidDel="00000000" w:rsidR="00000000" w:rsidRPr="00000000">
        <w:rPr>
          <w:rFonts w:ascii="Times New Roman" w:cs="Times New Roman" w:eastAsia="Times New Roman" w:hAnsi="Times New Roman"/>
          <w:sz w:val="24"/>
          <w:szCs w:val="24"/>
          <w:vertAlign w:val="superscript"/>
        </w:rPr>
        <w:footnoteReference w:customMarkFollows="0" w:id="56"/>
      </w:r>
      <w:r w:rsidDel="00000000" w:rsidR="00000000" w:rsidRPr="00000000">
        <w:rPr>
          <w:rFonts w:ascii="Times New Roman" w:cs="Times New Roman" w:eastAsia="Times New Roman" w:hAnsi="Times New Roman"/>
          <w:sz w:val="24"/>
          <w:szCs w:val="24"/>
          <w:rtl w:val="0"/>
        </w:rPr>
        <w:t xml:space="preserve"> This demonstrates the volatility of national policies on AI, and further shows why having international frameworks and agreements will allow for more consistent and stable regulations on AI safety.</w:t>
      </w:r>
    </w:p>
    <w:p w:rsidR="00000000" w:rsidDel="00000000" w:rsidP="00000000" w:rsidRDefault="00000000" w:rsidRPr="00000000" w14:paraId="0000004C">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39m8kh69pyb3" w:id="28"/>
      <w:bookmarkEnd w:id="28"/>
      <w:r w:rsidDel="00000000" w:rsidR="00000000" w:rsidRPr="00000000">
        <w:rPr>
          <w:rFonts w:ascii="Times New Roman" w:cs="Times New Roman" w:eastAsia="Times New Roman" w:hAnsi="Times New Roman"/>
          <w:sz w:val="24"/>
          <w:szCs w:val="24"/>
          <w:rtl w:val="0"/>
        </w:rPr>
        <w:t xml:space="preserve">Chinese AI Regulations</w:t>
      </w:r>
    </w:p>
    <w:p w:rsidR="00000000" w:rsidDel="00000000" w:rsidP="00000000" w:rsidRDefault="00000000" w:rsidRPr="00000000" w14:paraId="0000004D">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China has developed three significant regulatory frameworks addressing algorithms and AI. The first, implemented in 2021, focused on recommendation algorithms, emerging from governmental concerns about digital content distribution. This groundbreaking regulation established an "algorithm registry" and included provisions for content control and worker protections, setting a precedent for future technological oversight.</w:t>
      </w:r>
    </w:p>
    <w:p w:rsidR="00000000" w:rsidDel="00000000" w:rsidP="00000000" w:rsidRDefault="00000000" w:rsidRPr="00000000" w14:paraId="0000004E">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2022, China introduced rules governing deep synthesis technologies, targeting synthetic content generation across text, video, and audio platforms. Primarily motivated by concerns about deepfakes, the regulation mandated clear labeling of artificially generated materials and prohibited the creation of "fake news," reflecting a proactive approach to managing emerging digital risks.</w:t>
      </w:r>
    </w:p>
    <w:p w:rsidR="00000000" w:rsidDel="00000000" w:rsidP="00000000" w:rsidRDefault="00000000" w:rsidRPr="00000000" w14:paraId="0000004F">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most recent draft regulation, developed in 2023 in response to the proliferation of AI chatbots like ChatGPT, largely mirrors the previous deep synthesis rules. However, it places heightened emphasis on text generation and training data integrity, requiring providers to ensure that both the data used for training and the content produced meet stringent standards of truthfulness and accuracy. This evolving regulatory landscape demonstrates China's strategic approach to managing technological innovation while maintaining robust content standards.</w:t>
      </w:r>
      <w:r w:rsidDel="00000000" w:rsidR="00000000" w:rsidRPr="00000000">
        <w:rPr>
          <w:rFonts w:ascii="Times New Roman" w:cs="Times New Roman" w:eastAsia="Times New Roman" w:hAnsi="Times New Roman"/>
          <w:sz w:val="24"/>
          <w:szCs w:val="24"/>
          <w:vertAlign w:val="superscript"/>
        </w:rPr>
        <w:footnoteReference w:customMarkFollows="0" w:id="57"/>
      </w:r>
      <w:r w:rsidDel="00000000" w:rsidR="00000000" w:rsidRPr="00000000">
        <w:rPr>
          <w:rtl w:val="0"/>
        </w:rPr>
      </w:r>
    </w:p>
    <w:p w:rsidR="00000000" w:rsidDel="00000000" w:rsidP="00000000" w:rsidRDefault="00000000" w:rsidRPr="00000000" w14:paraId="00000050">
      <w:pPr>
        <w:pStyle w:val="Heading1"/>
        <w:numPr>
          <w:ilvl w:val="0"/>
          <w:numId w:val="1"/>
        </w:numPr>
        <w:spacing w:after="0" w:before="0" w:line="480" w:lineRule="auto"/>
        <w:ind w:left="720" w:hanging="360"/>
        <w:rPr>
          <w:rFonts w:ascii="Times New Roman" w:cs="Times New Roman" w:eastAsia="Times New Roman" w:hAnsi="Times New Roman"/>
          <w:b w:val="1"/>
          <w:bCs w:val="1"/>
          <w:sz w:val="24"/>
          <w:szCs w:val="24"/>
        </w:rPr>
      </w:pPr>
      <w:bookmarkStart w:colFirst="0" w:colLast="0" w:name="_czhjxgmcbqya" w:id="29"/>
      <w:bookmarkEnd w:id="29"/>
      <w:r w:rsidDel="00000000" w:rsidR="00000000" w:rsidRPr="00000000">
        <w:rPr>
          <w:rFonts w:ascii="Times New Roman" w:cs="Times New Roman" w:eastAsia="Times New Roman" w:hAnsi="Times New Roman"/>
          <w:b w:val="1"/>
          <w:bCs w:val="1"/>
          <w:sz w:val="24"/>
          <w:szCs w:val="24"/>
          <w:rtl w:val="0"/>
        </w:rPr>
        <w:t xml:space="preserve">Comparative Case Studies</w:t>
      </w:r>
    </w:p>
    <w:p w:rsidR="00000000" w:rsidDel="00000000" w:rsidP="00000000" w:rsidRDefault="00000000" w:rsidRPr="00000000" w14:paraId="00000051">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provide context for my proposed AI regulation, I will first examine significant international treaties that have successfully regulated powerful and dual-use technologies. By tracing the historical approaches to managing transformative technological capabilities, we can develop a nuanced understanding of potential regulatory frameworks for AI. These precedents will illuminate the strategic considerations, challenges, and potential pathways for creating an effective international treaty to govern AI development and deployment.</w:t>
      </w:r>
    </w:p>
    <w:p w:rsidR="00000000" w:rsidDel="00000000" w:rsidP="00000000" w:rsidRDefault="00000000" w:rsidRPr="00000000" w14:paraId="00000052">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1gnj31cfskm0" w:id="30"/>
      <w:bookmarkEnd w:id="30"/>
      <w:r w:rsidDel="00000000" w:rsidR="00000000" w:rsidRPr="00000000">
        <w:rPr>
          <w:rFonts w:ascii="Times New Roman" w:cs="Times New Roman" w:eastAsia="Times New Roman" w:hAnsi="Times New Roman"/>
          <w:sz w:val="24"/>
          <w:szCs w:val="24"/>
          <w:rtl w:val="0"/>
        </w:rPr>
        <w:t xml:space="preserve">Framework for Analysis</w:t>
      </w:r>
    </w:p>
    <w:p w:rsidR="00000000" w:rsidDel="00000000" w:rsidP="00000000" w:rsidRDefault="00000000" w:rsidRPr="00000000" w14:paraId="00000053">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Crafting an effective international treaty requires careful consideration of several critical factors. </w:t>
      </w:r>
      <w:r w:rsidDel="00000000" w:rsidR="00000000" w:rsidRPr="00000000">
        <w:rPr>
          <w:rFonts w:ascii="Times New Roman" w:cs="Times New Roman" w:eastAsia="Times New Roman" w:hAnsi="Times New Roman"/>
          <w:b w:val="1"/>
          <w:bCs w:val="1"/>
          <w:sz w:val="24"/>
          <w:szCs w:val="24"/>
          <w:rtl w:val="0"/>
        </w:rPr>
        <w:t xml:space="preserve">Signatories</w:t>
      </w:r>
      <w:r w:rsidDel="00000000" w:rsidR="00000000" w:rsidRPr="00000000">
        <w:rPr>
          <w:rFonts w:ascii="Times New Roman" w:cs="Times New Roman" w:eastAsia="Times New Roman" w:hAnsi="Times New Roman"/>
          <w:sz w:val="24"/>
          <w:szCs w:val="24"/>
          <w:rtl w:val="0"/>
        </w:rPr>
        <w:t xml:space="preserve"> determine the global consensus and legitimacy of the agreement, while the balance between </w:t>
      </w:r>
      <w:r w:rsidDel="00000000" w:rsidR="00000000" w:rsidRPr="00000000">
        <w:rPr>
          <w:rFonts w:ascii="Times New Roman" w:cs="Times New Roman" w:eastAsia="Times New Roman" w:hAnsi="Times New Roman"/>
          <w:b w:val="1"/>
          <w:bCs w:val="1"/>
          <w:sz w:val="24"/>
          <w:szCs w:val="24"/>
          <w:rtl w:val="0"/>
        </w:rPr>
        <w:t xml:space="preserve">government and private sector involvement</w:t>
      </w:r>
      <w:r w:rsidDel="00000000" w:rsidR="00000000" w:rsidRPr="00000000">
        <w:rPr>
          <w:rFonts w:ascii="Times New Roman" w:cs="Times New Roman" w:eastAsia="Times New Roman" w:hAnsi="Times New Roman"/>
          <w:sz w:val="24"/>
          <w:szCs w:val="24"/>
          <w:rtl w:val="0"/>
        </w:rPr>
        <w:t xml:space="preserve"> shapes regulatory approaches. The </w:t>
      </w:r>
      <w:r w:rsidDel="00000000" w:rsidR="00000000" w:rsidRPr="00000000">
        <w:rPr>
          <w:rFonts w:ascii="Times New Roman" w:cs="Times New Roman" w:eastAsia="Times New Roman" w:hAnsi="Times New Roman"/>
          <w:b w:val="1"/>
          <w:bCs w:val="1"/>
          <w:sz w:val="24"/>
          <w:szCs w:val="24"/>
          <w:rtl w:val="0"/>
        </w:rPr>
        <w:t xml:space="preserve">perceived danger</w:t>
      </w:r>
      <w:r w:rsidDel="00000000" w:rsidR="00000000" w:rsidRPr="00000000">
        <w:rPr>
          <w:rFonts w:ascii="Times New Roman" w:cs="Times New Roman" w:eastAsia="Times New Roman" w:hAnsi="Times New Roman"/>
          <w:sz w:val="24"/>
          <w:szCs w:val="24"/>
          <w:rtl w:val="0"/>
        </w:rPr>
        <w:t xml:space="preserve"> of the issue drives the treaty's urgency and stringency, influencing whether it relies on mandatory measures or voluntary cooperation.</w:t>
      </w:r>
    </w:p>
    <w:p w:rsidR="00000000" w:rsidDel="00000000" w:rsidP="00000000" w:rsidRDefault="00000000" w:rsidRPr="00000000" w14:paraId="00000054">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treaty's success fundamentally depends on its </w:t>
      </w:r>
      <w:r w:rsidDel="00000000" w:rsidR="00000000" w:rsidRPr="00000000">
        <w:rPr>
          <w:rFonts w:ascii="Times New Roman" w:cs="Times New Roman" w:eastAsia="Times New Roman" w:hAnsi="Times New Roman"/>
          <w:b w:val="1"/>
          <w:bCs w:val="1"/>
          <w:sz w:val="24"/>
          <w:szCs w:val="24"/>
          <w:rtl w:val="0"/>
        </w:rPr>
        <w:t xml:space="preserve">enforcement mechanisms</w:t>
      </w:r>
      <w:r w:rsidDel="00000000" w:rsidR="00000000" w:rsidRPr="00000000">
        <w:rPr>
          <w:rFonts w:ascii="Times New Roman" w:cs="Times New Roman" w:eastAsia="Times New Roman" w:hAnsi="Times New Roman"/>
          <w:sz w:val="24"/>
          <w:szCs w:val="24"/>
          <w:rtl w:val="0"/>
        </w:rPr>
        <w:t xml:space="preserve">—how compliance will be monitored, violations addressed, and incentives aligned among participating nations. This requires creating robust oversight frameworks that can adapt to emerging challenges while maintaining accountability.</w:t>
      </w:r>
    </w:p>
    <w:p w:rsidR="00000000" w:rsidDel="00000000" w:rsidP="00000000" w:rsidRDefault="00000000" w:rsidRPr="00000000" w14:paraId="00000055">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examining</w:t>
      </w:r>
      <w:r w:rsidDel="00000000" w:rsidR="00000000" w:rsidRPr="00000000">
        <w:rPr>
          <w:rFonts w:ascii="Times New Roman" w:cs="Times New Roman" w:eastAsia="Times New Roman" w:hAnsi="Times New Roman"/>
          <w:b w:val="1"/>
          <w:bCs w:val="1"/>
          <w:sz w:val="24"/>
          <w:szCs w:val="24"/>
          <w:rtl w:val="0"/>
        </w:rPr>
        <w:t xml:space="preserve"> key features</w:t>
      </w:r>
      <w:r w:rsidDel="00000000" w:rsidR="00000000" w:rsidRPr="00000000">
        <w:rPr>
          <w:rFonts w:ascii="Times New Roman" w:cs="Times New Roman" w:eastAsia="Times New Roman" w:hAnsi="Times New Roman"/>
          <w:sz w:val="24"/>
          <w:szCs w:val="24"/>
          <w:rtl w:val="0"/>
        </w:rPr>
        <w:t xml:space="preserve"> of previous international agreements, policymakers can design treaties that balance flexibility with meaningful regulation. Ultimately, the goal is to develop a framework that effectively addresses complex global challenges while maintaining broad international support and practical implementability.</w:t>
      </w:r>
    </w:p>
    <w:p w:rsidR="00000000" w:rsidDel="00000000" w:rsidP="00000000" w:rsidRDefault="00000000" w:rsidRPr="00000000" w14:paraId="00000056">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zg939uhhr9sy" w:id="31"/>
      <w:bookmarkEnd w:id="31"/>
      <w:r w:rsidDel="00000000" w:rsidR="00000000" w:rsidRPr="00000000">
        <w:rPr>
          <w:rFonts w:ascii="Times New Roman" w:cs="Times New Roman" w:eastAsia="Times New Roman" w:hAnsi="Times New Roman"/>
          <w:sz w:val="24"/>
          <w:szCs w:val="24"/>
          <w:rtl w:val="0"/>
        </w:rPr>
        <w:t xml:space="preserve">Gladstone Report</w:t>
      </w:r>
    </w:p>
    <w:p w:rsidR="00000000" w:rsidDel="00000000" w:rsidP="00000000" w:rsidRDefault="00000000" w:rsidRPr="00000000" w14:paraId="00000057">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2023 Gladstone AI Inc. released a historical survey which was commissioned by the U.S. State Department. It evaluates technological control regimes through seven historical case studies to design frameworks for managing the proliferation of AGI. It compares AGI risks with past technologies like aircraft, nuclear weapons, biological and chemical weapons, and environmental regulation, drawing policy lessons for counterproliferation and international cooperation. The study identifies AGI's dual-use nature and potential for misuse as critical challenges, alongside the necessity of bottleneck controls and collaborative governance.</w:t>
      </w:r>
      <w:r w:rsidDel="00000000" w:rsidR="00000000" w:rsidRPr="00000000">
        <w:rPr>
          <w:rFonts w:ascii="Times New Roman" w:cs="Times New Roman" w:eastAsia="Times New Roman" w:hAnsi="Times New Roman"/>
          <w:sz w:val="24"/>
          <w:szCs w:val="24"/>
          <w:vertAlign w:val="superscript"/>
        </w:rPr>
        <w:footnoteReference w:customMarkFollows="0" w:id="58"/>
      </w:r>
      <w:r w:rsidDel="00000000" w:rsidR="00000000" w:rsidRPr="00000000">
        <w:rPr>
          <w:rtl w:val="0"/>
        </w:rPr>
      </w:r>
    </w:p>
    <w:p w:rsidR="00000000" w:rsidDel="00000000" w:rsidP="00000000" w:rsidRDefault="00000000" w:rsidRPr="00000000" w14:paraId="00000058">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However, the analogies presented are not apt</w:t>
      </w:r>
      <w:r w:rsidDel="00000000" w:rsidR="00000000" w:rsidRPr="00000000">
        <w:rPr>
          <w:rFonts w:ascii="Times New Roman" w:cs="Times New Roman" w:eastAsia="Times New Roman" w:hAnsi="Times New Roman"/>
          <w:sz w:val="24"/>
          <w:szCs w:val="24"/>
          <w:rtl w:val="0"/>
        </w:rPr>
        <w:t xml:space="preserve">, such as comparing AGI to early aviation or dynamite. These examples, while historically instructive, do not fully capture the complexities of AGI, particularly its rapid scalability and decentralized development. The document also underscores the unpredictability of technological forecasting, but some comparisons, like to aircraft or nuclear arms, may miss AGI's distinct capacity for autonomous escalation and global reach. Expanding the case studies to more fitting examples, such as cybersecurity or digital platforms, could strengthen the analysis.</w:t>
      </w:r>
      <w:r w:rsidDel="00000000" w:rsidR="00000000" w:rsidRPr="00000000">
        <w:rPr>
          <w:rFonts w:ascii="Times New Roman" w:cs="Times New Roman" w:eastAsia="Times New Roman" w:hAnsi="Times New Roman"/>
          <w:sz w:val="24"/>
          <w:szCs w:val="24"/>
          <w:vertAlign w:val="superscript"/>
        </w:rPr>
        <w:footnoteReference w:customMarkFollows="0" w:id="59"/>
      </w:r>
      <w:r w:rsidDel="00000000" w:rsidR="00000000" w:rsidRPr="00000000">
        <w:rPr>
          <w:rtl w:val="0"/>
        </w:rPr>
      </w:r>
    </w:p>
    <w:p w:rsidR="00000000" w:rsidDel="00000000" w:rsidP="00000000" w:rsidRDefault="00000000" w:rsidRPr="00000000" w14:paraId="00000059">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1bfoja8o3ieq" w:id="32"/>
      <w:bookmarkEnd w:id="32"/>
      <w:r w:rsidDel="00000000" w:rsidR="00000000" w:rsidRPr="00000000">
        <w:rPr>
          <w:rFonts w:ascii="Times New Roman" w:cs="Times New Roman" w:eastAsia="Times New Roman" w:hAnsi="Times New Roman"/>
          <w:sz w:val="24"/>
          <w:szCs w:val="24"/>
          <w:rtl w:val="0"/>
        </w:rPr>
        <w:t xml:space="preserve">Treaty on the Non-Proliferation of Nuclear Weapons</w:t>
      </w:r>
    </w:p>
    <w:p w:rsidR="00000000" w:rsidDel="00000000" w:rsidP="00000000" w:rsidRDefault="00000000" w:rsidRPr="00000000" w14:paraId="0000005A">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Nuclear Non-Proliferation Treaty (NPT), signed in 1968, was a landmark diplomatic effort to prevent the spread of nuclear weapons and promote peaceful nuclear cooperation. It established a framework for international cooperation between nuclear and non-nuclear states, aiming to address global anxieties about nuclear conflict. While the treaty did not completely halt nuclear proliferation, it emerged as a pivotal achievement in arms control during the tense geopolitical landscape of the Cold War. By establishing a framework for international cooperation between nations with and without nuclear capabilities, the NPT provided a crucial mechanism for addressing widespread anxieties about potential nuclear conflict and set an important precedent for collaborative global risk management.</w:t>
      </w:r>
      <w:r w:rsidDel="00000000" w:rsidR="00000000" w:rsidRPr="00000000">
        <w:rPr>
          <w:rFonts w:ascii="Times New Roman" w:cs="Times New Roman" w:eastAsia="Times New Roman" w:hAnsi="Times New Roman"/>
          <w:sz w:val="24"/>
          <w:szCs w:val="24"/>
          <w:vertAlign w:val="superscript"/>
        </w:rPr>
        <w:footnoteReference w:customMarkFollows="0" w:id="60"/>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B">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bcz1ocnkchdx" w:id="33"/>
      <w:bookmarkEnd w:id="33"/>
      <w:r w:rsidDel="00000000" w:rsidR="00000000" w:rsidRPr="00000000">
        <w:rPr>
          <w:rFonts w:ascii="Times New Roman" w:cs="Times New Roman" w:eastAsia="Times New Roman" w:hAnsi="Times New Roman"/>
          <w:color w:val="000000"/>
          <w:sz w:val="24"/>
          <w:szCs w:val="24"/>
          <w:rtl w:val="0"/>
        </w:rPr>
        <w:t xml:space="preserve">Signatories</w:t>
      </w:r>
    </w:p>
    <w:p w:rsidR="00000000" w:rsidDel="00000000" w:rsidP="00000000" w:rsidRDefault="00000000" w:rsidRPr="00000000" w14:paraId="0000005C">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NPT has achieved near-universal participation, with 191 states parties, including the five recognized nuclear-weapon states: the United States, Russia, China, France, and the United Kingdom. Notable non-signatories include India, Israel, and Pakistan, which have developed nuclear arsenals outside the treaty framework.</w:t>
      </w:r>
      <w:r w:rsidDel="00000000" w:rsidR="00000000" w:rsidRPr="00000000">
        <w:rPr>
          <w:rFonts w:ascii="Times New Roman" w:cs="Times New Roman" w:eastAsia="Times New Roman" w:hAnsi="Times New Roman"/>
          <w:sz w:val="24"/>
          <w:szCs w:val="24"/>
          <w:vertAlign w:val="superscript"/>
        </w:rPr>
        <w:footnoteReference w:customMarkFollows="0" w:id="61"/>
      </w:r>
      <w:r w:rsidDel="00000000" w:rsidR="00000000" w:rsidRPr="00000000">
        <w:rPr>
          <w:rtl w:val="0"/>
        </w:rPr>
      </w:r>
    </w:p>
    <w:p w:rsidR="00000000" w:rsidDel="00000000" w:rsidP="00000000" w:rsidRDefault="00000000" w:rsidRPr="00000000" w14:paraId="0000005D">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g4b8c2jhudrg" w:id="34"/>
      <w:bookmarkEnd w:id="34"/>
      <w:r w:rsidDel="00000000" w:rsidR="00000000" w:rsidRPr="00000000">
        <w:rPr>
          <w:rFonts w:ascii="Times New Roman" w:cs="Times New Roman" w:eastAsia="Times New Roman" w:hAnsi="Times New Roman"/>
          <w:color w:val="000000"/>
          <w:sz w:val="24"/>
          <w:szCs w:val="24"/>
          <w:rtl w:val="0"/>
        </w:rPr>
        <w:t xml:space="preserve">Government vs. Private Involvement</w:t>
      </w:r>
    </w:p>
    <w:p w:rsidR="00000000" w:rsidDel="00000000" w:rsidP="00000000" w:rsidRDefault="00000000" w:rsidRPr="00000000" w14:paraId="0000005E">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Nuclear technology and materials are predominantly controlled by state entities, with stringent regulations limiting private sector involvement, especially concerning weapons development. This state-centric control facilitates centralized enforcement of non-proliferation measures. In contrast, the development and deployment of AI involve significant private sector participation, with governments increasingly seeking to regulate and guide AI's growth. For instance, the U.S. government has issued executive orders to ensure the safe and responsible development of AI, emphasizing collaboration with the private sector.</w:t>
      </w:r>
      <w:r w:rsidDel="00000000" w:rsidR="00000000" w:rsidRPr="00000000">
        <w:rPr>
          <w:rFonts w:ascii="Times New Roman" w:cs="Times New Roman" w:eastAsia="Times New Roman" w:hAnsi="Times New Roman"/>
          <w:sz w:val="24"/>
          <w:szCs w:val="24"/>
          <w:vertAlign w:val="superscript"/>
        </w:rPr>
        <w:footnoteReference w:customMarkFollows="0" w:id="62"/>
      </w:r>
      <w:r w:rsidDel="00000000" w:rsidR="00000000" w:rsidRPr="00000000">
        <w:rPr>
          <w:rtl w:val="0"/>
        </w:rPr>
      </w:r>
    </w:p>
    <w:p w:rsidR="00000000" w:rsidDel="00000000" w:rsidP="00000000" w:rsidRDefault="00000000" w:rsidRPr="00000000" w14:paraId="0000005F">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g3l59udd9a77" w:id="35"/>
      <w:bookmarkEnd w:id="35"/>
      <w:r w:rsidDel="00000000" w:rsidR="00000000" w:rsidRPr="00000000">
        <w:rPr>
          <w:rFonts w:ascii="Times New Roman" w:cs="Times New Roman" w:eastAsia="Times New Roman" w:hAnsi="Times New Roman"/>
          <w:color w:val="000000"/>
          <w:sz w:val="24"/>
          <w:szCs w:val="24"/>
          <w:rtl w:val="0"/>
        </w:rPr>
        <w:t xml:space="preserve">Perceived Danger</w:t>
      </w:r>
      <w:r w:rsidDel="00000000" w:rsidR="00000000" w:rsidRPr="00000000">
        <w:rPr>
          <w:rtl w:val="0"/>
        </w:rPr>
      </w:r>
    </w:p>
    <w:p w:rsidR="00000000" w:rsidDel="00000000" w:rsidP="00000000" w:rsidRDefault="00000000" w:rsidRPr="00000000" w14:paraId="00000060">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time of the agreement’s creation, there was widespread acknowledgment of the danger of nuclear weapons. The treaty emerged during the Cold War, a time of heightened fears of nuclear conflict and proliferation. The existential threat posed by nuclear weapons motivated international consensus on the necessity of a robust non-proliferation regime.</w:t>
      </w:r>
      <w:r w:rsidDel="00000000" w:rsidR="00000000" w:rsidRPr="00000000">
        <w:rPr>
          <w:rFonts w:ascii="Times New Roman" w:cs="Times New Roman" w:eastAsia="Times New Roman" w:hAnsi="Times New Roman"/>
          <w:sz w:val="24"/>
          <w:szCs w:val="24"/>
          <w:vertAlign w:val="superscript"/>
        </w:rPr>
        <w:footnoteReference w:customMarkFollows="0" w:id="63"/>
      </w:r>
      <w:r w:rsidDel="00000000" w:rsidR="00000000" w:rsidRPr="00000000">
        <w:rPr>
          <w:rtl w:val="0"/>
        </w:rPr>
      </w:r>
    </w:p>
    <w:p w:rsidR="00000000" w:rsidDel="00000000" w:rsidP="00000000" w:rsidRDefault="00000000" w:rsidRPr="00000000" w14:paraId="00000061">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 experts are referring to the current stage of AI as akin to a “nuclear winter.” Unlike nuclear arms, which are tightly regulated and finite, AI is a general-purpose technology with virtually unlimited applications, highly commercialized and proliferating at unprecedented speed. The lack of strict oversight and benchmarks for AI further complicates efforts to mitigate harm.</w:t>
      </w:r>
      <w:r w:rsidDel="00000000" w:rsidR="00000000" w:rsidRPr="00000000">
        <w:rPr>
          <w:rFonts w:ascii="Times New Roman" w:cs="Times New Roman" w:eastAsia="Times New Roman" w:hAnsi="Times New Roman"/>
          <w:sz w:val="24"/>
          <w:szCs w:val="24"/>
          <w:vertAlign w:val="superscript"/>
        </w:rPr>
        <w:footnoteReference w:customMarkFollows="0" w:id="64"/>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2">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seoa77wfh9h" w:id="36"/>
      <w:bookmarkEnd w:id="36"/>
      <w:r w:rsidDel="00000000" w:rsidR="00000000" w:rsidRPr="00000000">
        <w:rPr>
          <w:rFonts w:ascii="Times New Roman" w:cs="Times New Roman" w:eastAsia="Times New Roman" w:hAnsi="Times New Roman"/>
          <w:color w:val="000000"/>
          <w:sz w:val="24"/>
          <w:szCs w:val="24"/>
          <w:rtl w:val="0"/>
        </w:rPr>
        <w:t xml:space="preserve">Key Features</w:t>
      </w:r>
    </w:p>
    <w:p w:rsidR="00000000" w:rsidDel="00000000" w:rsidP="00000000" w:rsidRDefault="00000000" w:rsidRPr="00000000" w14:paraId="00000063">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NPT is built on three pillars: non-proliferation, disarmament, and the peaceful use of nuclear energy. It obligates nuclear-weapon states to pursue disarmament, non-nuclear-weapon states to forgo developing or acquiring nuclear weapons, and promotes cooperation in the peaceful use of nuclear technology under strict safeguards.</w:t>
      </w:r>
      <w:r w:rsidDel="00000000" w:rsidR="00000000" w:rsidRPr="00000000">
        <w:rPr>
          <w:rFonts w:ascii="Times New Roman" w:cs="Times New Roman" w:eastAsia="Times New Roman" w:hAnsi="Times New Roman"/>
          <w:sz w:val="24"/>
          <w:szCs w:val="24"/>
          <w:vertAlign w:val="superscript"/>
        </w:rPr>
        <w:footnoteReference w:customMarkFollows="0" w:id="65"/>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64">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vs20faea5ghv" w:id="37"/>
      <w:bookmarkEnd w:id="37"/>
      <w:r w:rsidDel="00000000" w:rsidR="00000000" w:rsidRPr="00000000">
        <w:rPr>
          <w:rFonts w:ascii="Times New Roman" w:cs="Times New Roman" w:eastAsia="Times New Roman" w:hAnsi="Times New Roman"/>
          <w:color w:val="000000"/>
          <w:sz w:val="24"/>
          <w:szCs w:val="24"/>
          <w:rtl w:val="0"/>
        </w:rPr>
        <w:t xml:space="preserve">Efficacy and Enforcement</w:t>
      </w:r>
    </w:p>
    <w:p w:rsidR="00000000" w:rsidDel="00000000" w:rsidP="00000000" w:rsidRDefault="00000000" w:rsidRPr="00000000" w14:paraId="00000065">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According to experts, the Nuclear Non-Proliferation Treaty has been instrumental in constraining nuclear weapons proliferation. Empirical research suggests that even when accounting for potential selection bias, countries that ratified the NPT demonstrate a significantly reduced probability of pursuing nuclear weapon development. Experts from the Brookings Institute also concluded that the NPT has been largely successful in curbing the spread of nuclear weapons, noting that the number of nuclear-armed states has remained at nine for the past 25 years, contrary to earlier predictions of widespread proliferation. The treaty has facilitated significant reductions in nuclear arsenals, particularly by the United States and Russia, whose stockpiles are now about one-fifth the size they were during the Cold War. However, the experts expressed concerns about emerging challenges, including deteriorating international security environments, stalled disarmament efforts, and potential new arms races, all of which could undermine the NPT's future effectiveness.</w:t>
      </w:r>
      <w:r w:rsidDel="00000000" w:rsidR="00000000" w:rsidRPr="00000000">
        <w:rPr>
          <w:rFonts w:ascii="Times New Roman" w:cs="Times New Roman" w:eastAsia="Times New Roman" w:hAnsi="Times New Roman"/>
          <w:sz w:val="24"/>
          <w:szCs w:val="24"/>
          <w:vertAlign w:val="superscript"/>
        </w:rPr>
        <w:footnoteReference w:customMarkFollows="0" w:id="66"/>
      </w:r>
      <w:r w:rsidDel="00000000" w:rsidR="00000000" w:rsidRPr="00000000">
        <w:rPr>
          <w:rtl w:val="0"/>
        </w:rPr>
      </w:r>
    </w:p>
    <w:p w:rsidR="00000000" w:rsidDel="00000000" w:rsidP="00000000" w:rsidRDefault="00000000" w:rsidRPr="00000000" w14:paraId="00000066">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International Atomic Energy Agency (IAEA) is responsible for verifying compliance with the NPT through a system of safeguards. These safeguards include inspections, monitoring, and verification processes to ensure that nuclear materials are not diverted to weapon programs. The IAEA reports its findings to the United Nations, which can take action in cases of non-compliance.</w:t>
      </w:r>
      <w:r w:rsidDel="00000000" w:rsidR="00000000" w:rsidRPr="00000000">
        <w:rPr>
          <w:rFonts w:ascii="Times New Roman" w:cs="Times New Roman" w:eastAsia="Times New Roman" w:hAnsi="Times New Roman"/>
          <w:sz w:val="24"/>
          <w:szCs w:val="24"/>
          <w:vertAlign w:val="superscript"/>
        </w:rPr>
        <w:footnoteReference w:customMarkFollows="0" w:id="67"/>
      </w:r>
      <w:r w:rsidDel="00000000" w:rsidR="00000000" w:rsidRPr="00000000">
        <w:rPr>
          <w:rtl w:val="0"/>
        </w:rPr>
      </w:r>
    </w:p>
    <w:p w:rsidR="00000000" w:rsidDel="00000000" w:rsidP="00000000" w:rsidRDefault="00000000" w:rsidRPr="00000000" w14:paraId="00000067">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blomx3ngpw78" w:id="38"/>
      <w:bookmarkEnd w:id="38"/>
      <w:r w:rsidDel="00000000" w:rsidR="00000000" w:rsidRPr="00000000">
        <w:rPr>
          <w:rFonts w:ascii="Times New Roman" w:cs="Times New Roman" w:eastAsia="Times New Roman" w:hAnsi="Times New Roman"/>
          <w:sz w:val="24"/>
          <w:szCs w:val="24"/>
          <w:rtl w:val="0"/>
        </w:rPr>
        <w:t xml:space="preserve">Universal Declaration on the Human Genome and Human Rights</w:t>
      </w:r>
    </w:p>
    <w:p w:rsidR="00000000" w:rsidDel="00000000" w:rsidP="00000000" w:rsidRDefault="00000000" w:rsidRPr="00000000" w14:paraId="00000068">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Universal Declaration on the Human Genome and Human Rights, adopted unanimously by UNESCO in 1997, establishes ethical guidelines for genetic research, emphasizing the protection of human dignity and human rights. It asserts that the human genome is a shared heritage of humanity and underscores the necessity of informed consent, confidentiality, and the prohibition of discrimination based on genetic characteristics. The declaration also addresses concerns regarding human cloning and the commercialization of the human genome, advocating for the equitable distribution of benefits derived from genetic research.</w:t>
      </w:r>
      <w:r w:rsidDel="00000000" w:rsidR="00000000" w:rsidRPr="00000000">
        <w:rPr>
          <w:rFonts w:ascii="Times New Roman" w:cs="Times New Roman" w:eastAsia="Times New Roman" w:hAnsi="Times New Roman"/>
          <w:sz w:val="24"/>
          <w:szCs w:val="24"/>
          <w:vertAlign w:val="superscript"/>
        </w:rPr>
        <w:footnoteReference w:customMarkFollows="0" w:id="68"/>
      </w:r>
      <w:r w:rsidDel="00000000" w:rsidR="00000000" w:rsidRPr="00000000">
        <w:rPr>
          <w:rtl w:val="0"/>
        </w:rPr>
      </w:r>
    </w:p>
    <w:p w:rsidR="00000000" w:rsidDel="00000000" w:rsidP="00000000" w:rsidRDefault="00000000" w:rsidRPr="00000000" w14:paraId="00000069">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qta0hn9qq1e9" w:id="39"/>
      <w:bookmarkEnd w:id="39"/>
      <w:r w:rsidDel="00000000" w:rsidR="00000000" w:rsidRPr="00000000">
        <w:rPr>
          <w:rFonts w:ascii="Times New Roman" w:cs="Times New Roman" w:eastAsia="Times New Roman" w:hAnsi="Times New Roman"/>
          <w:color w:val="000000"/>
          <w:sz w:val="24"/>
          <w:szCs w:val="24"/>
          <w:rtl w:val="0"/>
        </w:rPr>
        <w:t xml:space="preserve">Signatories</w:t>
      </w:r>
    </w:p>
    <w:p w:rsidR="00000000" w:rsidDel="00000000" w:rsidP="00000000" w:rsidRDefault="00000000" w:rsidRPr="00000000" w14:paraId="0000006A">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Adopted unanimously by UNESCO's General Conference in 1997, the Declaration reflects a broad international consensus on the ethical considerations surrounding genetic research. It was later endorsed by the United Nations General Assembly in 1998, further solidifying its global acceptance.</w:t>
      </w:r>
      <w:r w:rsidDel="00000000" w:rsidR="00000000" w:rsidRPr="00000000">
        <w:rPr>
          <w:rFonts w:ascii="Times New Roman" w:cs="Times New Roman" w:eastAsia="Times New Roman" w:hAnsi="Times New Roman"/>
          <w:sz w:val="24"/>
          <w:szCs w:val="24"/>
          <w:vertAlign w:val="superscript"/>
        </w:rPr>
        <w:footnoteReference w:customMarkFollows="0" w:id="69"/>
      </w:r>
      <w:r w:rsidDel="00000000" w:rsidR="00000000" w:rsidRPr="00000000">
        <w:rPr>
          <w:rtl w:val="0"/>
        </w:rPr>
      </w:r>
    </w:p>
    <w:p w:rsidR="00000000" w:rsidDel="00000000" w:rsidP="00000000" w:rsidRDefault="00000000" w:rsidRPr="00000000" w14:paraId="0000006B">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qj2s7aheza97" w:id="40"/>
      <w:bookmarkEnd w:id="40"/>
      <w:r w:rsidDel="00000000" w:rsidR="00000000" w:rsidRPr="00000000">
        <w:rPr>
          <w:rFonts w:ascii="Times New Roman" w:cs="Times New Roman" w:eastAsia="Times New Roman" w:hAnsi="Times New Roman"/>
          <w:color w:val="000000"/>
          <w:sz w:val="24"/>
          <w:szCs w:val="24"/>
          <w:rtl w:val="0"/>
        </w:rPr>
        <w:t xml:space="preserve">Government vs. Private Involvement</w:t>
      </w:r>
    </w:p>
    <w:p w:rsidR="00000000" w:rsidDel="00000000" w:rsidP="00000000" w:rsidRDefault="00000000" w:rsidRPr="00000000" w14:paraId="0000006C">
      <w:pPr>
        <w:spacing w:after="0" w:before="0" w:line="480" w:lineRule="auto"/>
        <w:ind w:firstLine="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The Human Genome Project (HGP), initiated in 1990, was a large-scale, publicly funded endeavor aimed at mapping and sequencing the entire human genome. Led by the U.S. Department of Energy and the National Institutes of Health, the HGP involved international collaboration among government institutions and academic researchers.</w:t>
      </w:r>
      <w:r w:rsidDel="00000000" w:rsidR="00000000" w:rsidRPr="00000000">
        <w:rPr>
          <w:rFonts w:ascii="Times New Roman" w:cs="Times New Roman" w:eastAsia="Times New Roman" w:hAnsi="Times New Roman"/>
          <w:sz w:val="24"/>
          <w:szCs w:val="24"/>
          <w:vertAlign w:val="superscript"/>
        </w:rPr>
        <w:footnoteReference w:customMarkFollows="0" w:id="70"/>
      </w:r>
      <w:r w:rsidDel="00000000" w:rsidR="00000000" w:rsidRPr="00000000">
        <w:rPr>
          <w:rtl w:val="0"/>
        </w:rPr>
      </w:r>
    </w:p>
    <w:p w:rsidR="00000000" w:rsidDel="00000000" w:rsidP="00000000" w:rsidRDefault="00000000" w:rsidRPr="00000000" w14:paraId="0000006D">
      <w:pPr>
        <w:spacing w:after="0" w:before="0" w:line="480" w:lineRule="auto"/>
        <w:ind w:firstLine="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In 1998, the private sector entered the genomic sequencing arena when Dr. Craig Venter founded Celera Genomics. Celera aimed to sequence the human genome more rapidly and cost-effectively than the public effort, utilizing advanced sequencing technologies and computational methods.</w:t>
      </w:r>
      <w:r w:rsidDel="00000000" w:rsidR="00000000" w:rsidRPr="00000000">
        <w:rPr>
          <w:rFonts w:ascii="Times New Roman" w:cs="Times New Roman" w:eastAsia="Times New Roman" w:hAnsi="Times New Roman"/>
          <w:sz w:val="24"/>
          <w:szCs w:val="24"/>
          <w:vertAlign w:val="superscript"/>
        </w:rPr>
        <w:footnoteReference w:customMarkFollows="0" w:id="71"/>
      </w:r>
      <w:r w:rsidDel="00000000" w:rsidR="00000000" w:rsidRPr="00000000">
        <w:rPr>
          <w:rtl w:val="0"/>
        </w:rPr>
      </w:r>
    </w:p>
    <w:p w:rsidR="00000000" w:rsidDel="00000000" w:rsidP="00000000" w:rsidRDefault="00000000" w:rsidRPr="00000000" w14:paraId="0000006E">
      <w:pPr>
        <w:spacing w:after="0" w:before="0" w:line="480" w:lineRule="auto"/>
        <w:ind w:firstLine="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This public-private competition accelerated the pace of genomic research, culminating in the simultaneous announcement of draft human genome sequences by both the HGP and Celera in 2000. The HGP's commitment was to create a comprehensive reference genome, while private-sector projects often focused on sequencing gene-rich regions with commercial potential.</w:t>
      </w:r>
      <w:r w:rsidDel="00000000" w:rsidR="00000000" w:rsidRPr="00000000">
        <w:rPr>
          <w:rFonts w:ascii="Times New Roman" w:cs="Times New Roman" w:eastAsia="Times New Roman" w:hAnsi="Times New Roman"/>
          <w:sz w:val="24"/>
          <w:szCs w:val="24"/>
          <w:vertAlign w:val="superscript"/>
        </w:rPr>
        <w:footnoteReference w:customMarkFollows="0" w:id="72"/>
      </w:r>
      <w:r w:rsidDel="00000000" w:rsidR="00000000" w:rsidRPr="00000000">
        <w:rPr>
          <w:rtl w:val="0"/>
        </w:rPr>
      </w:r>
    </w:p>
    <w:p w:rsidR="00000000" w:rsidDel="00000000" w:rsidP="00000000" w:rsidRDefault="00000000" w:rsidRPr="00000000" w14:paraId="0000006F">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summary, the sequencing of the human genome was spearheaded by a combination of government-led initiatives and private-sector contributions, with the public sector laying the foundational groundwork and private companies enhancing technological advancements and efficiency.</w:t>
      </w:r>
    </w:p>
    <w:p w:rsidR="00000000" w:rsidDel="00000000" w:rsidP="00000000" w:rsidRDefault="00000000" w:rsidRPr="00000000" w14:paraId="00000070">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ru3fjoukxr2g" w:id="41"/>
      <w:bookmarkEnd w:id="41"/>
      <w:r w:rsidDel="00000000" w:rsidR="00000000" w:rsidRPr="00000000">
        <w:rPr>
          <w:rFonts w:ascii="Times New Roman" w:cs="Times New Roman" w:eastAsia="Times New Roman" w:hAnsi="Times New Roman"/>
          <w:color w:val="000000"/>
          <w:sz w:val="24"/>
          <w:szCs w:val="24"/>
          <w:rtl w:val="0"/>
        </w:rPr>
        <w:t xml:space="preserve">Perceived Danger</w:t>
      </w:r>
      <w:r w:rsidDel="00000000" w:rsidR="00000000" w:rsidRPr="00000000">
        <w:rPr>
          <w:rtl w:val="0"/>
        </w:rPr>
      </w:r>
    </w:p>
    <w:p w:rsidR="00000000" w:rsidDel="00000000" w:rsidP="00000000" w:rsidRDefault="00000000" w:rsidRPr="00000000" w14:paraId="00000071">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emergence of advanced genetic technologies sparked profound ethical concerns about humanity's ability to manipulate fundamental aspects of human life. Fears centered on potential misuse of genetic modifications, risks of generational harm, and the creation of new forms of discrimination. Drawing from historical abuses like eugenics, the scientific community recognized the transformative potential of genetic research and the urgent need for responsible international oversight.</w:t>
      </w:r>
      <w:r w:rsidDel="00000000" w:rsidR="00000000" w:rsidRPr="00000000">
        <w:rPr>
          <w:rFonts w:ascii="Times New Roman" w:cs="Times New Roman" w:eastAsia="Times New Roman" w:hAnsi="Times New Roman"/>
          <w:sz w:val="24"/>
          <w:szCs w:val="24"/>
          <w:vertAlign w:val="superscript"/>
        </w:rPr>
        <w:footnoteReference w:customMarkFollows="0" w:id="73"/>
      </w:r>
      <w:r w:rsidDel="00000000" w:rsidR="00000000" w:rsidRPr="00000000">
        <w:rPr>
          <w:rtl w:val="0"/>
        </w:rPr>
      </w:r>
    </w:p>
    <w:p w:rsidR="00000000" w:rsidDel="00000000" w:rsidP="00000000" w:rsidRDefault="00000000" w:rsidRPr="00000000" w14:paraId="00000072">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Human Genome Project dramatically highlighted the global implications of genetic advancements, revealing complex societal, ethical, and legal challenges. The Universal Declaration on the Human Genome and Human Rights emerged as a critical response, seeking to protect human dignity and ensure equitable access to scientific breakthroughs while preventing potential exploitation of genetic technologies.</w:t>
      </w:r>
      <w:r w:rsidDel="00000000" w:rsidR="00000000" w:rsidRPr="00000000">
        <w:rPr>
          <w:rFonts w:ascii="Times New Roman" w:cs="Times New Roman" w:eastAsia="Times New Roman" w:hAnsi="Times New Roman"/>
          <w:sz w:val="24"/>
          <w:szCs w:val="24"/>
          <w:vertAlign w:val="superscript"/>
        </w:rPr>
        <w:footnoteReference w:customMarkFollows="0" w:id="74"/>
      </w:r>
      <w:r w:rsidDel="00000000" w:rsidR="00000000" w:rsidRPr="00000000">
        <w:rPr>
          <w:rtl w:val="0"/>
        </w:rPr>
      </w:r>
    </w:p>
    <w:p w:rsidR="00000000" w:rsidDel="00000000" w:rsidP="00000000" w:rsidRDefault="00000000" w:rsidRPr="00000000" w14:paraId="00000073">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 and human genomics share common risks as dual-use technologies with transformative potential, raising ethical dilemmas and global security concerns while outpacing regulatory frameworks. Both fields demand international cooperation to address risks of misuse, such as disinformation and autonomous weapons in AI or genetic engineering and biosecurity threats in genomics. However, their risks differ: AI primarily disrupts societal and systemic infrastructures, proliferating rapidly due to its software-based nature, while genomics involves direct biological impacts and progresses at a slower pace due to its reliance on physical materials and specialized expertise. AI governance is still in its infancy, relying on national and industry-led initiatives, whereas genomics benefits from established but under-enforced international agreements. Tailored regulatory approaches are essential, with AI requiring a focus on systemic harms like misinformation and inequality, and genomics emphasizing bioethics, consent, and diversity. Both fields highlight the urgency for robust, proactive governance to balance innovation with safety and equity.</w:t>
      </w:r>
    </w:p>
    <w:p w:rsidR="00000000" w:rsidDel="00000000" w:rsidP="00000000" w:rsidRDefault="00000000" w:rsidRPr="00000000" w14:paraId="00000074">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gtfi8jp5qblq" w:id="42"/>
      <w:bookmarkEnd w:id="42"/>
      <w:r w:rsidDel="00000000" w:rsidR="00000000" w:rsidRPr="00000000">
        <w:rPr>
          <w:rFonts w:ascii="Times New Roman" w:cs="Times New Roman" w:eastAsia="Times New Roman" w:hAnsi="Times New Roman"/>
          <w:color w:val="000000"/>
          <w:sz w:val="24"/>
          <w:szCs w:val="24"/>
          <w:rtl w:val="0"/>
        </w:rPr>
        <w:t xml:space="preserve">Key Features</w:t>
      </w:r>
    </w:p>
    <w:p w:rsidR="00000000" w:rsidDel="00000000" w:rsidP="00000000" w:rsidRDefault="00000000" w:rsidRPr="00000000" w14:paraId="00000075">
      <w:pPr>
        <w:spacing w:after="0" w:before="0"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declaration emphasizes informed consent, confidentiality, non-discrimination, and the prohibition of human cloning. It advocates for the equitable sharing of benefits from genetic research and underscores the importance of international cooperation in upholding ethical standards.</w:t>
      </w:r>
      <w:r w:rsidDel="00000000" w:rsidR="00000000" w:rsidRPr="00000000">
        <w:rPr>
          <w:rFonts w:ascii="Times New Roman" w:cs="Times New Roman" w:eastAsia="Times New Roman" w:hAnsi="Times New Roman"/>
          <w:sz w:val="24"/>
          <w:szCs w:val="24"/>
          <w:vertAlign w:val="superscript"/>
        </w:rPr>
        <w:footnoteReference w:customMarkFollows="0" w:id="75"/>
      </w:r>
      <w:r w:rsidDel="00000000" w:rsidR="00000000" w:rsidRPr="00000000">
        <w:rPr>
          <w:rtl w:val="0"/>
        </w:rPr>
      </w:r>
    </w:p>
    <w:p w:rsidR="00000000" w:rsidDel="00000000" w:rsidP="00000000" w:rsidRDefault="00000000" w:rsidRPr="00000000" w14:paraId="00000076">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qf18ng7xg5y8" w:id="43"/>
      <w:bookmarkEnd w:id="43"/>
      <w:r w:rsidDel="00000000" w:rsidR="00000000" w:rsidRPr="00000000">
        <w:rPr>
          <w:rFonts w:ascii="Times New Roman" w:cs="Times New Roman" w:eastAsia="Times New Roman" w:hAnsi="Times New Roman"/>
          <w:color w:val="000000"/>
          <w:sz w:val="24"/>
          <w:szCs w:val="24"/>
          <w:rtl w:val="0"/>
        </w:rPr>
        <w:t xml:space="preserve">Efficacy and Enforcement</w:t>
      </w:r>
    </w:p>
    <w:p w:rsidR="00000000" w:rsidDel="00000000" w:rsidP="00000000" w:rsidRDefault="00000000" w:rsidRPr="00000000" w14:paraId="00000077">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non-binding instrument, the Declaration relies on member states to voluntarily implement its principles through national legislation and policies. UNESCO encourages states to promote these principles but lacks enforcement mechanisms to ensure compliance.</w:t>
      </w:r>
      <w:r w:rsidDel="00000000" w:rsidR="00000000" w:rsidRPr="00000000">
        <w:rPr>
          <w:rFonts w:ascii="Times New Roman" w:cs="Times New Roman" w:eastAsia="Times New Roman" w:hAnsi="Times New Roman"/>
          <w:sz w:val="24"/>
          <w:szCs w:val="24"/>
          <w:vertAlign w:val="superscript"/>
        </w:rPr>
        <w:footnoteReference w:customMarkFollows="0" w:id="76"/>
      </w:r>
      <w:r w:rsidDel="00000000" w:rsidR="00000000" w:rsidRPr="00000000">
        <w:rPr>
          <w:rtl w:val="0"/>
        </w:rPr>
      </w:r>
    </w:p>
    <w:p w:rsidR="00000000" w:rsidDel="00000000" w:rsidP="00000000" w:rsidRDefault="00000000" w:rsidRPr="00000000" w14:paraId="00000078">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reliance on voluntary adoption has led to inconsistent implementation across different jurisdictions. Additionally, while the Declaration provides broad ethical guidelines, it lacks detailed directives on practical issues such as consent procedures in genetic research, equitable access to genetic advancements, and the complexities surrounding intellectual property rights in genetics. These omissions have prompted critiques regarding its comprehensiveness and practical applicability. Despite these challenges, the Declaration's enduring legacy lies in its pioneering role in establishing ethical standards for genetic research and its applications, underscoring the necessity of aligning scientific progress with human rights considerations.</w:t>
      </w:r>
      <w:r w:rsidDel="00000000" w:rsidR="00000000" w:rsidRPr="00000000">
        <w:rPr>
          <w:rFonts w:ascii="Times New Roman" w:cs="Times New Roman" w:eastAsia="Times New Roman" w:hAnsi="Times New Roman"/>
          <w:sz w:val="24"/>
          <w:szCs w:val="24"/>
          <w:vertAlign w:val="superscript"/>
        </w:rPr>
        <w:footnoteReference w:customMarkFollows="0" w:id="77"/>
      </w:r>
      <w:r w:rsidDel="00000000" w:rsidR="00000000" w:rsidRPr="00000000">
        <w:rPr>
          <w:rtl w:val="0"/>
        </w:rPr>
      </w:r>
    </w:p>
    <w:p w:rsidR="00000000" w:rsidDel="00000000" w:rsidP="00000000" w:rsidRDefault="00000000" w:rsidRPr="00000000" w14:paraId="00000079">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2r3cbt3k0y6z" w:id="44"/>
      <w:bookmarkEnd w:id="44"/>
      <w:r w:rsidDel="00000000" w:rsidR="00000000" w:rsidRPr="00000000">
        <w:rPr>
          <w:rFonts w:ascii="Times New Roman" w:cs="Times New Roman" w:eastAsia="Times New Roman" w:hAnsi="Times New Roman"/>
          <w:sz w:val="24"/>
          <w:szCs w:val="24"/>
          <w:rtl w:val="0"/>
        </w:rPr>
        <w:t xml:space="preserve">Artemis Accords</w:t>
      </w:r>
    </w:p>
    <w:p w:rsidR="00000000" w:rsidDel="00000000" w:rsidP="00000000" w:rsidRDefault="00000000" w:rsidRPr="00000000" w14:paraId="0000007A">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Artemis Accords, established in 2020 by NASA and the U.S. Department of State in collaboration with seven initial signatory nations, represent a critical framework for governing space exploration in an era of increasing international and commercial lunar missions. These accords create a comprehensive set of principles designed to guide responsible civil space exploration, building upon and reinforcing existing international space agreements such as the Outer Space Treaty, the Registration Convention, and the Rescue and Return Agreement.</w:t>
      </w:r>
      <w:r w:rsidDel="00000000" w:rsidR="00000000" w:rsidRPr="00000000">
        <w:rPr>
          <w:rFonts w:ascii="Times New Roman" w:cs="Times New Roman" w:eastAsia="Times New Roman" w:hAnsi="Times New Roman"/>
          <w:sz w:val="24"/>
          <w:szCs w:val="24"/>
          <w:vertAlign w:val="superscript"/>
        </w:rPr>
        <w:footnoteReference w:customMarkFollows="0" w:id="78"/>
      </w:r>
      <w:r w:rsidDel="00000000" w:rsidR="00000000" w:rsidRPr="00000000">
        <w:rPr>
          <w:rtl w:val="0"/>
        </w:rPr>
      </w:r>
    </w:p>
    <w:p w:rsidR="00000000" w:rsidDel="00000000" w:rsidP="00000000" w:rsidRDefault="00000000" w:rsidRPr="00000000" w14:paraId="0000007B">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tee0oi62u3ma" w:id="45"/>
      <w:bookmarkEnd w:id="45"/>
      <w:r w:rsidDel="00000000" w:rsidR="00000000" w:rsidRPr="00000000">
        <w:rPr>
          <w:rFonts w:ascii="Times New Roman" w:cs="Times New Roman" w:eastAsia="Times New Roman" w:hAnsi="Times New Roman"/>
          <w:color w:val="000000"/>
          <w:sz w:val="24"/>
          <w:szCs w:val="24"/>
          <w:rtl w:val="0"/>
        </w:rPr>
        <w:t xml:space="preserve">Signatories</w:t>
      </w:r>
    </w:p>
    <w:p w:rsidR="00000000" w:rsidDel="00000000" w:rsidP="00000000" w:rsidRDefault="00000000" w:rsidRPr="00000000" w14:paraId="0000007C">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of December 2024, the Artemis Accords have been signed by 50 countries, including major spacefaring nations such as the United States, the United Kingdom, Japan, and emerging participants like Angola and Armenia. This broad participation reflects a growing international consensus on the principles governing space exploration.</w:t>
      </w:r>
      <w:r w:rsidDel="00000000" w:rsidR="00000000" w:rsidRPr="00000000">
        <w:rPr>
          <w:rFonts w:ascii="Times New Roman" w:cs="Times New Roman" w:eastAsia="Times New Roman" w:hAnsi="Times New Roman"/>
          <w:sz w:val="24"/>
          <w:szCs w:val="24"/>
          <w:vertAlign w:val="superscript"/>
        </w:rPr>
        <w:footnoteReference w:customMarkFollows="0" w:id="79"/>
      </w:r>
      <w:r w:rsidDel="00000000" w:rsidR="00000000" w:rsidRPr="00000000">
        <w:rPr>
          <w:rtl w:val="0"/>
        </w:rPr>
      </w:r>
    </w:p>
    <w:p w:rsidR="00000000" w:rsidDel="00000000" w:rsidP="00000000" w:rsidRDefault="00000000" w:rsidRPr="00000000" w14:paraId="0000007D">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kb29ec3ceze4" w:id="46"/>
      <w:bookmarkEnd w:id="46"/>
      <w:r w:rsidDel="00000000" w:rsidR="00000000" w:rsidRPr="00000000">
        <w:rPr>
          <w:rFonts w:ascii="Times New Roman" w:cs="Times New Roman" w:eastAsia="Times New Roman" w:hAnsi="Times New Roman"/>
          <w:color w:val="000000"/>
          <w:sz w:val="24"/>
          <w:szCs w:val="24"/>
          <w:rtl w:val="0"/>
        </w:rPr>
        <w:t xml:space="preserve">Government vs. Private Involvement</w:t>
      </w:r>
    </w:p>
    <w:p w:rsidR="00000000" w:rsidDel="00000000" w:rsidP="00000000" w:rsidRDefault="00000000" w:rsidRPr="00000000" w14:paraId="0000007E">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landscape of space exploration has evolved from being exclusively government-led to a dynamic collaboration between public agencies and private enterprises. Historically, national space agencies like NASA spearheaded space missions, focusing on scientific discovery and national security.</w:t>
      </w:r>
      <w:r w:rsidDel="00000000" w:rsidR="00000000" w:rsidRPr="00000000">
        <w:rPr>
          <w:rFonts w:ascii="Times New Roman" w:cs="Times New Roman" w:eastAsia="Times New Roman" w:hAnsi="Times New Roman"/>
          <w:sz w:val="24"/>
          <w:szCs w:val="24"/>
          <w:vertAlign w:val="superscript"/>
        </w:rPr>
        <w:footnoteReference w:customMarkFollows="0" w:id="80"/>
      </w:r>
      <w:r w:rsidDel="00000000" w:rsidR="00000000" w:rsidRPr="00000000">
        <w:rPr>
          <w:rFonts w:ascii="Times New Roman" w:cs="Times New Roman" w:eastAsia="Times New Roman" w:hAnsi="Times New Roman"/>
          <w:sz w:val="24"/>
          <w:szCs w:val="24"/>
          <w:rtl w:val="0"/>
        </w:rPr>
        <w:t xml:space="preserve"> However, the high costs and rapid technological advancements have paved the way for increased private sector involvement. Companies such as SpaceX</w:t>
      </w:r>
      <w:r w:rsidDel="00000000" w:rsidR="00000000" w:rsidRPr="00000000">
        <w:rPr>
          <w:rFonts w:ascii="Times New Roman" w:cs="Times New Roman" w:eastAsia="Times New Roman" w:hAnsi="Times New Roman"/>
          <w:sz w:val="24"/>
          <w:szCs w:val="24"/>
          <w:vertAlign w:val="superscript"/>
        </w:rPr>
        <w:footnoteReference w:customMarkFollows="0" w:id="81"/>
      </w:r>
      <w:r w:rsidDel="00000000" w:rsidR="00000000" w:rsidRPr="00000000">
        <w:rPr>
          <w:rFonts w:ascii="Times New Roman" w:cs="Times New Roman" w:eastAsia="Times New Roman" w:hAnsi="Times New Roman"/>
          <w:sz w:val="24"/>
          <w:szCs w:val="24"/>
          <w:rtl w:val="0"/>
        </w:rPr>
        <w:t xml:space="preserve">, Blue Origin</w:t>
      </w:r>
      <w:r w:rsidDel="00000000" w:rsidR="00000000" w:rsidRPr="00000000">
        <w:rPr>
          <w:rFonts w:ascii="Times New Roman" w:cs="Times New Roman" w:eastAsia="Times New Roman" w:hAnsi="Times New Roman"/>
          <w:sz w:val="24"/>
          <w:szCs w:val="24"/>
          <w:vertAlign w:val="superscript"/>
        </w:rPr>
        <w:footnoteReference w:customMarkFollows="0" w:id="82"/>
      </w:r>
      <w:r w:rsidDel="00000000" w:rsidR="00000000" w:rsidRPr="00000000">
        <w:rPr>
          <w:rFonts w:ascii="Times New Roman" w:cs="Times New Roman" w:eastAsia="Times New Roman" w:hAnsi="Times New Roman"/>
          <w:sz w:val="24"/>
          <w:szCs w:val="24"/>
          <w:rtl w:val="0"/>
        </w:rPr>
        <w:t xml:space="preserve">, and Virgin Galactic</w:t>
      </w:r>
      <w:r w:rsidDel="00000000" w:rsidR="00000000" w:rsidRPr="00000000">
        <w:rPr>
          <w:rFonts w:ascii="Times New Roman" w:cs="Times New Roman" w:eastAsia="Times New Roman" w:hAnsi="Times New Roman"/>
          <w:sz w:val="24"/>
          <w:szCs w:val="24"/>
          <w:vertAlign w:val="superscript"/>
        </w:rPr>
        <w:footnoteReference w:customMarkFollows="0" w:id="83"/>
      </w:r>
      <w:r w:rsidDel="00000000" w:rsidR="00000000" w:rsidRPr="00000000">
        <w:rPr>
          <w:rFonts w:ascii="Times New Roman" w:cs="Times New Roman" w:eastAsia="Times New Roman" w:hAnsi="Times New Roman"/>
          <w:sz w:val="24"/>
          <w:szCs w:val="24"/>
          <w:rtl w:val="0"/>
        </w:rPr>
        <w:t xml:space="preserve"> have become pivotal, introducing innovations like reusable rockets and commercial satellite deployments. This shift has democratized access to space, fostering a burgeoning space economy.</w:t>
      </w:r>
    </w:p>
    <w:p w:rsidR="00000000" w:rsidDel="00000000" w:rsidP="00000000" w:rsidRDefault="00000000" w:rsidRPr="00000000" w14:paraId="0000007F">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Public-private partnerships have been instrumental in this transition.</w:t>
      </w:r>
      <w:r w:rsidDel="00000000" w:rsidR="00000000" w:rsidRPr="00000000">
        <w:rPr>
          <w:rFonts w:ascii="Times New Roman" w:cs="Times New Roman" w:eastAsia="Times New Roman" w:hAnsi="Times New Roman"/>
          <w:sz w:val="24"/>
          <w:szCs w:val="24"/>
          <w:vertAlign w:val="superscript"/>
        </w:rPr>
        <w:footnoteReference w:customMarkFollows="0" w:id="84"/>
      </w:r>
      <w:r w:rsidDel="00000000" w:rsidR="00000000" w:rsidRPr="00000000">
        <w:rPr>
          <w:rFonts w:ascii="Times New Roman" w:cs="Times New Roman" w:eastAsia="Times New Roman" w:hAnsi="Times New Roman"/>
          <w:sz w:val="24"/>
          <w:szCs w:val="24"/>
          <w:rtl w:val="0"/>
        </w:rPr>
        <w:t xml:space="preserve"> Initiatives like NASA's Commercial Crew Program exemplify this synergy, where private firms develop and operate spacecraft to transport astronauts to the International Space Station, reducing costs and accelerating development timelines. These collaborations leverage the strengths of both sectors: the regulatory and funding capabilities of governments and the agility and innovation of private companies. As the space domain becomes more congested and competitive, effective coordination between governmental bodies and private actors is essential to ensure sustainable and secure space operations.</w:t>
      </w:r>
    </w:p>
    <w:p w:rsidR="00000000" w:rsidDel="00000000" w:rsidP="00000000" w:rsidRDefault="00000000" w:rsidRPr="00000000" w14:paraId="00000080">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8nesp6lxtsqa" w:id="47"/>
      <w:bookmarkEnd w:id="47"/>
      <w:r w:rsidDel="00000000" w:rsidR="00000000" w:rsidRPr="00000000">
        <w:rPr>
          <w:rFonts w:ascii="Times New Roman" w:cs="Times New Roman" w:eastAsia="Times New Roman" w:hAnsi="Times New Roman"/>
          <w:color w:val="000000"/>
          <w:sz w:val="24"/>
          <w:szCs w:val="24"/>
          <w:rtl w:val="0"/>
        </w:rPr>
        <w:t xml:space="preserve">Perceived Danger</w:t>
      </w:r>
      <w:r w:rsidDel="00000000" w:rsidR="00000000" w:rsidRPr="00000000">
        <w:rPr>
          <w:rtl w:val="0"/>
        </w:rPr>
      </w:r>
    </w:p>
    <w:p w:rsidR="00000000" w:rsidDel="00000000" w:rsidP="00000000" w:rsidRDefault="00000000" w:rsidRPr="00000000" w14:paraId="00000081">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time of their creation, several perceived dangers associated with advancing space technology underscored the need for such accords. The potential for extracting valuable resources from celestial bodies raised concerns about disputes over ownership and exploitation rights. The Artemis Accords address this by affirming that resource extraction should comply with the Outer Space Treaty, ensuring activities are conducted transparently and sustainably.</w:t>
      </w:r>
      <w:r w:rsidDel="00000000" w:rsidR="00000000" w:rsidRPr="00000000">
        <w:rPr>
          <w:rFonts w:ascii="Times New Roman" w:cs="Times New Roman" w:eastAsia="Times New Roman" w:hAnsi="Times New Roman"/>
          <w:sz w:val="24"/>
          <w:szCs w:val="24"/>
          <w:vertAlign w:val="superscript"/>
        </w:rPr>
        <w:footnoteReference w:customMarkFollows="0" w:id="85"/>
      </w:r>
      <w:r w:rsidDel="00000000" w:rsidR="00000000" w:rsidRPr="00000000">
        <w:rPr>
          <w:rFonts w:ascii="Times New Roman" w:cs="Times New Roman" w:eastAsia="Times New Roman" w:hAnsi="Times New Roman"/>
          <w:sz w:val="24"/>
          <w:szCs w:val="24"/>
          <w:rtl w:val="0"/>
        </w:rPr>
        <w:t xml:space="preserve"> Additionally, the increasing number of satellites and missions heightened the risk of space debris, which can endanger both crewed and uncrewed missions. The accords emphasize commitments to mitigate orbital debris and promote the safe disposal of spacecraft at the end of their missions.</w:t>
      </w:r>
      <w:r w:rsidDel="00000000" w:rsidR="00000000" w:rsidRPr="00000000">
        <w:rPr>
          <w:rFonts w:ascii="Times New Roman" w:cs="Times New Roman" w:eastAsia="Times New Roman" w:hAnsi="Times New Roman"/>
          <w:sz w:val="24"/>
          <w:szCs w:val="24"/>
          <w:vertAlign w:val="superscript"/>
        </w:rPr>
        <w:footnoteReference w:customMarkFollows="0" w:id="86"/>
      </w:r>
      <w:r w:rsidDel="00000000" w:rsidR="00000000" w:rsidRPr="00000000">
        <w:rPr>
          <w:rFonts w:ascii="Times New Roman" w:cs="Times New Roman" w:eastAsia="Times New Roman" w:hAnsi="Times New Roman"/>
          <w:sz w:val="24"/>
          <w:szCs w:val="24"/>
          <w:rtl w:val="0"/>
        </w:rPr>
        <w:t xml:space="preserve"> There were also concerns about the potential deployment of weapons in space, which could lead to an arms race beyond Earth.</w:t>
      </w:r>
      <w:r w:rsidDel="00000000" w:rsidR="00000000" w:rsidRPr="00000000">
        <w:rPr>
          <w:rFonts w:ascii="Times New Roman" w:cs="Times New Roman" w:eastAsia="Times New Roman" w:hAnsi="Times New Roman"/>
          <w:sz w:val="24"/>
          <w:szCs w:val="24"/>
          <w:vertAlign w:val="superscript"/>
        </w:rPr>
        <w:footnoteReference w:customMarkFollows="0" w:id="87"/>
      </w:r>
      <w:r w:rsidDel="00000000" w:rsidR="00000000" w:rsidRPr="00000000">
        <w:rPr>
          <w:rFonts w:ascii="Times New Roman" w:cs="Times New Roman" w:eastAsia="Times New Roman" w:hAnsi="Times New Roman"/>
          <w:sz w:val="24"/>
          <w:szCs w:val="24"/>
          <w:rtl w:val="0"/>
        </w:rPr>
        <w:t xml:space="preserve"> The accords reinforce that space activities should be conducted for peaceful purposes, aligning with the principles of the Outer Space Treaty.</w:t>
      </w:r>
    </w:p>
    <w:p w:rsidR="00000000" w:rsidDel="00000000" w:rsidP="00000000" w:rsidRDefault="00000000" w:rsidRPr="00000000" w14:paraId="00000082">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risks of space exploration and AI both involve potential catastrophic consequences but differ in scope and immediacy. Space exploration risks are primarily physical and environmental, including spacecraft malfunctions, astronaut safety, and contamination of celestial bodies or Earth from extraterrestrial microbes. These risks are mitigated by strict international treaties, such as the Outer Space Treaty, and rigorous safety protocols. In contrast, AI risks are systemic and societal, encompassing disinformation, job displacement, and misuse for autonomous weapons or large-scale surveillance. Unlike space exploration, AI's proliferation is faster due to its software nature, with fewer regulatory constraints and widespread commercialization. While space exploration risks are tied to physical ventures with defined boundaries, AI poses pervasive risks affecting global political, social, and ecological systems.</w:t>
      </w:r>
    </w:p>
    <w:p w:rsidR="00000000" w:rsidDel="00000000" w:rsidP="00000000" w:rsidRDefault="00000000" w:rsidRPr="00000000" w14:paraId="00000083">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3yzhkyoy7c55" w:id="48"/>
      <w:bookmarkEnd w:id="48"/>
      <w:r w:rsidDel="00000000" w:rsidR="00000000" w:rsidRPr="00000000">
        <w:rPr>
          <w:rFonts w:ascii="Times New Roman" w:cs="Times New Roman" w:eastAsia="Times New Roman" w:hAnsi="Times New Roman"/>
          <w:color w:val="000000"/>
          <w:sz w:val="24"/>
          <w:szCs w:val="24"/>
          <w:rtl w:val="0"/>
        </w:rPr>
        <w:t xml:space="preserve">Key Features</w:t>
      </w:r>
    </w:p>
    <w:p w:rsidR="00000000" w:rsidDel="00000000" w:rsidP="00000000" w:rsidRDefault="00000000" w:rsidRPr="00000000" w14:paraId="00000084">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Artemis Accords establish a framework for international cooperation in space exploration, emphasizing several core principles. Signatories commit to conducting all space activities exclusively for peaceful purposes, aligning with the tenets of the Outer Space Treaty. Transparency is upheld through the broad dissemination of information regarding national space policies and exploration plans, fostering mutual trust among nations. To enhance cooperation, the Accords promote the interoperability of systems by encouraging the use of open international standards and the development of new ones when necessary. In the event of emergencies, signatories pledge to provide assistance to astronauts in distress, reaffirming obligations under the Rescue and Return Agreement. Proper registration of space objects is emphasized to prevent harmful interference, urging partners to join the Registration Convention if they haven't already. The Accords advocate for the open sharing of scientific data, ensuring that discoveries benefit all of humanity. They also underscore the importance of preserving humanity's outer space heritage by protecting historic sites and artifacts. Utilization of space resources is to be conducted in compliance with international law, supporting safe and sustainable space activities. To avoid harmful interference, the concept of "safety zones" is introduced, where signatories coordinate activities to respect each other's operations. Finally, the Accords call for planning the mitigation of orbital debris, including the safe and efficient disposal of spacecraft at the end of their missions, to maintain a sustainable space environment.</w:t>
      </w:r>
      <w:r w:rsidDel="00000000" w:rsidR="00000000" w:rsidRPr="00000000">
        <w:rPr>
          <w:rFonts w:ascii="Times New Roman" w:cs="Times New Roman" w:eastAsia="Times New Roman" w:hAnsi="Times New Roman"/>
          <w:sz w:val="24"/>
          <w:szCs w:val="24"/>
          <w:vertAlign w:val="superscript"/>
        </w:rPr>
        <w:footnoteReference w:customMarkFollows="0" w:id="88"/>
      </w:r>
      <w:r w:rsidDel="00000000" w:rsidR="00000000" w:rsidRPr="00000000">
        <w:rPr>
          <w:rtl w:val="0"/>
        </w:rPr>
      </w:r>
    </w:p>
    <w:p w:rsidR="00000000" w:rsidDel="00000000" w:rsidP="00000000" w:rsidRDefault="00000000" w:rsidRPr="00000000" w14:paraId="00000085">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5pcooorvoeor" w:id="49"/>
      <w:bookmarkEnd w:id="49"/>
      <w:r w:rsidDel="00000000" w:rsidR="00000000" w:rsidRPr="00000000">
        <w:rPr>
          <w:rFonts w:ascii="Times New Roman" w:cs="Times New Roman" w:eastAsia="Times New Roman" w:hAnsi="Times New Roman"/>
          <w:color w:val="000000"/>
          <w:sz w:val="24"/>
          <w:szCs w:val="24"/>
          <w:rtl w:val="0"/>
        </w:rPr>
        <w:t xml:space="preserve">Efficacy and Enforcement</w:t>
      </w:r>
    </w:p>
    <w:p w:rsidR="00000000" w:rsidDel="00000000" w:rsidP="00000000" w:rsidRDefault="00000000" w:rsidRPr="00000000" w14:paraId="00000086">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Artemis Accords are non-binding and lack formal enforcement mechanisms. Compliance relies on the goodwill and mutual interests of the signatories. The Accords encourage transparency and coordination, fostering a self-regulating environment among nations. This approach is similar to the enforcement of the Outer Space Treaty, where adherence is maintained through international norms and diplomatic engagement.</w:t>
      </w:r>
      <w:r w:rsidDel="00000000" w:rsidR="00000000" w:rsidRPr="00000000">
        <w:rPr>
          <w:rFonts w:ascii="Times New Roman" w:cs="Times New Roman" w:eastAsia="Times New Roman" w:hAnsi="Times New Roman"/>
          <w:sz w:val="24"/>
          <w:szCs w:val="24"/>
          <w:vertAlign w:val="superscript"/>
        </w:rPr>
        <w:footnoteReference w:customMarkFollows="0" w:id="89"/>
      </w:r>
      <w:r w:rsidDel="00000000" w:rsidR="00000000" w:rsidRPr="00000000">
        <w:rPr>
          <w:rtl w:val="0"/>
        </w:rPr>
      </w:r>
    </w:p>
    <w:p w:rsidR="00000000" w:rsidDel="00000000" w:rsidP="00000000" w:rsidRDefault="00000000" w:rsidRPr="00000000" w14:paraId="00000087">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Accords have faced criticism for lacking formal enforcement mechanisms and for being perceived as overly aligned with U.S. interests. Notably, Russia has condemned them as a "blatant attempt to create international space law that favors the United States," and China has likened them to "European colonial enclosure land-taking methods." Both countries have opted not to participate, instead pursuing alternative collaborations, such as the joint Chinese-Russian International Lunar Research Station. Additionally, some legal scholars express concerns that the Accords' provisions on resource extraction may conflict with the Outer Space Treaty of 1967, which prohibits national appropriation of celestial bodies. Despite these critiques, the Accords represent a significant step toward establishing norms for responsible behavior in space exploration.</w:t>
      </w:r>
      <w:r w:rsidDel="00000000" w:rsidR="00000000" w:rsidRPr="00000000">
        <w:rPr>
          <w:rFonts w:ascii="Times New Roman" w:cs="Times New Roman" w:eastAsia="Times New Roman" w:hAnsi="Times New Roman"/>
          <w:sz w:val="24"/>
          <w:szCs w:val="24"/>
          <w:vertAlign w:val="superscript"/>
        </w:rPr>
        <w:footnoteReference w:customMarkFollows="0" w:id="90"/>
      </w:r>
      <w:r w:rsidDel="00000000" w:rsidR="00000000" w:rsidRPr="00000000">
        <w:rPr>
          <w:rtl w:val="0"/>
        </w:rPr>
      </w:r>
    </w:p>
    <w:p w:rsidR="00000000" w:rsidDel="00000000" w:rsidP="00000000" w:rsidRDefault="00000000" w:rsidRPr="00000000" w14:paraId="00000088">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qkk7rsnmca2d" w:id="50"/>
      <w:bookmarkEnd w:id="50"/>
      <w:r w:rsidDel="00000000" w:rsidR="00000000" w:rsidRPr="00000000">
        <w:rPr>
          <w:rFonts w:ascii="Times New Roman" w:cs="Times New Roman" w:eastAsia="Times New Roman" w:hAnsi="Times New Roman"/>
          <w:sz w:val="24"/>
          <w:szCs w:val="24"/>
          <w:rtl w:val="0"/>
        </w:rPr>
        <w:t xml:space="preserve">Tallinn Manual</w:t>
      </w:r>
    </w:p>
    <w:p w:rsidR="00000000" w:rsidDel="00000000" w:rsidP="00000000" w:rsidRDefault="00000000" w:rsidRPr="00000000" w14:paraId="00000089">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Tallinn Manual is an academic, non-binding study that examines how existing international law applies to cyber conflicts and warfare. Developed between 2009 and 2012 by an International Group of Experts at the invitation of the NATO Cooperative Cyber Defence Centre of Excellence (CCDCOE) in Tallinn, Estonia, the manual was first published in 2013, with an expanded second edition, Tallinn Manual 2.0, released in 2017.</w:t>
      </w:r>
      <w:r w:rsidDel="00000000" w:rsidR="00000000" w:rsidRPr="00000000">
        <w:rPr>
          <w:rFonts w:ascii="Times New Roman" w:cs="Times New Roman" w:eastAsia="Times New Roman" w:hAnsi="Times New Roman"/>
          <w:sz w:val="24"/>
          <w:szCs w:val="24"/>
          <w:vertAlign w:val="superscript"/>
        </w:rPr>
        <w:footnoteReference w:customMarkFollows="0" w:id="91"/>
      </w:r>
      <w:r w:rsidDel="00000000" w:rsidR="00000000" w:rsidRPr="00000000">
        <w:rPr>
          <w:rtl w:val="0"/>
        </w:rPr>
      </w:r>
    </w:p>
    <w:p w:rsidR="00000000" w:rsidDel="00000000" w:rsidP="00000000" w:rsidRDefault="00000000" w:rsidRPr="00000000" w14:paraId="0000008A">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qj385hvxay5" w:id="51"/>
      <w:bookmarkEnd w:id="51"/>
      <w:r w:rsidDel="00000000" w:rsidR="00000000" w:rsidRPr="00000000">
        <w:rPr>
          <w:rFonts w:ascii="Times New Roman" w:cs="Times New Roman" w:eastAsia="Times New Roman" w:hAnsi="Times New Roman"/>
          <w:color w:val="000000"/>
          <w:sz w:val="24"/>
          <w:szCs w:val="24"/>
          <w:rtl w:val="0"/>
        </w:rPr>
        <w:t xml:space="preserve">Signatories</w:t>
      </w:r>
    </w:p>
    <w:p w:rsidR="00000000" w:rsidDel="00000000" w:rsidP="00000000" w:rsidRDefault="00000000" w:rsidRPr="00000000" w14:paraId="0000008B">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an academic work, the Tallinn Manual does not have formal signatories. It represents the consensus of the International Group of Experts who authored it, providing guidance on the interpretation of international law in the context of cyber operations. While influential, it does not bind any state or organization to its provisions.</w:t>
      </w:r>
    </w:p>
    <w:p w:rsidR="00000000" w:rsidDel="00000000" w:rsidP="00000000" w:rsidRDefault="00000000" w:rsidRPr="00000000" w14:paraId="0000008C">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ysmkg12s128z" w:id="52"/>
      <w:bookmarkEnd w:id="52"/>
      <w:r w:rsidDel="00000000" w:rsidR="00000000" w:rsidRPr="00000000">
        <w:rPr>
          <w:rFonts w:ascii="Times New Roman" w:cs="Times New Roman" w:eastAsia="Times New Roman" w:hAnsi="Times New Roman"/>
          <w:color w:val="000000"/>
          <w:sz w:val="24"/>
          <w:szCs w:val="24"/>
          <w:rtl w:val="0"/>
        </w:rPr>
        <w:t xml:space="preserve">Government vs. Private Involvement</w:t>
      </w:r>
    </w:p>
    <w:p w:rsidR="00000000" w:rsidDel="00000000" w:rsidP="00000000" w:rsidRDefault="00000000" w:rsidRPr="00000000" w14:paraId="0000008D">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development of cyber technologies pertinent to the Tallinn Manual was primarily led by governmental and academic entities, with limited direct involvement from the private sector. However, the broader field of cybersecurity has seen significant contributions from both government and private industry. Public-private partnerships have been instrumental in addressing cybersecurity challenges, with initiatives such as the Cybersecurity and Infrastructure Security Agency (CISA) fostering relationships with private sector entities to promote collaborative information sharing and the development of best practices.</w:t>
      </w:r>
      <w:r w:rsidDel="00000000" w:rsidR="00000000" w:rsidRPr="00000000">
        <w:rPr>
          <w:rFonts w:ascii="Times New Roman" w:cs="Times New Roman" w:eastAsia="Times New Roman" w:hAnsi="Times New Roman"/>
          <w:sz w:val="24"/>
          <w:szCs w:val="24"/>
          <w:vertAlign w:val="superscript"/>
        </w:rPr>
        <w:footnoteReference w:customMarkFollows="0" w:id="92"/>
      </w:r>
      <w:r w:rsidDel="00000000" w:rsidR="00000000" w:rsidRPr="00000000">
        <w:rPr>
          <w:rtl w:val="0"/>
        </w:rPr>
      </w:r>
    </w:p>
    <w:p w:rsidR="00000000" w:rsidDel="00000000" w:rsidP="00000000" w:rsidRDefault="00000000" w:rsidRPr="00000000" w14:paraId="0000008E">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h3hyi3apqz1r" w:id="53"/>
      <w:bookmarkEnd w:id="53"/>
      <w:r w:rsidDel="00000000" w:rsidR="00000000" w:rsidRPr="00000000">
        <w:rPr>
          <w:rFonts w:ascii="Times New Roman" w:cs="Times New Roman" w:eastAsia="Times New Roman" w:hAnsi="Times New Roman"/>
          <w:color w:val="000000"/>
          <w:sz w:val="24"/>
          <w:szCs w:val="24"/>
          <w:rtl w:val="0"/>
        </w:rPr>
        <w:t xml:space="preserve">Perceived Danger</w:t>
      </w:r>
      <w:r w:rsidDel="00000000" w:rsidR="00000000" w:rsidRPr="00000000">
        <w:rPr>
          <w:rtl w:val="0"/>
        </w:rPr>
      </w:r>
    </w:p>
    <w:p w:rsidR="00000000" w:rsidDel="00000000" w:rsidP="00000000" w:rsidRDefault="00000000" w:rsidRPr="00000000" w14:paraId="0000008F">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impetus for the Tallinn Manual stemmed from growing concerns over cyber threats and the potential for cyber operations to disrupt national security, economic stability, and critical infrastructure. The manual addresses the complexities of applying traditional international law to cyber activities, highlighting the perceived dangers of cyber warfare and the necessity for clear legal frameworks. </w:t>
      </w:r>
    </w:p>
    <w:p w:rsidR="00000000" w:rsidDel="00000000" w:rsidP="00000000" w:rsidRDefault="00000000" w:rsidRPr="00000000" w14:paraId="00000090">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Cyber threats and AI risks share commonalities as both involve technologies that can disrupt critical systems and pose global security challenges. Cyber threats primarily focus on malicious activities such as hacking, data breaches, ransomware, and critical infrastructure attacks, often targeting specific vulnerabilities in digital networks. In contrast, AI risks extend beyond intentional misuse to include systemic harms like algorithmic bias, autonomous weaponization, and disinformation campaigns, as well as unintended consequences of AI systems operating at scale. While both fields are highly commercialized and decentralized, cyber threats are typically reactive, requiring defense against specific actors or exploits, whereas AI risks involve proactively regulating a rapidly evolving technology with pervasive societal impacts. </w:t>
      </w:r>
    </w:p>
    <w:p w:rsidR="00000000" w:rsidDel="00000000" w:rsidP="00000000" w:rsidRDefault="00000000" w:rsidRPr="00000000" w14:paraId="00000091">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762zcr7tey6m" w:id="54"/>
      <w:bookmarkEnd w:id="54"/>
      <w:r w:rsidDel="00000000" w:rsidR="00000000" w:rsidRPr="00000000">
        <w:rPr>
          <w:rFonts w:ascii="Times New Roman" w:cs="Times New Roman" w:eastAsia="Times New Roman" w:hAnsi="Times New Roman"/>
          <w:color w:val="000000"/>
          <w:sz w:val="24"/>
          <w:szCs w:val="24"/>
          <w:rtl w:val="0"/>
        </w:rPr>
        <w:t xml:space="preserve">Key Features</w:t>
      </w:r>
    </w:p>
    <w:p w:rsidR="00000000" w:rsidDel="00000000" w:rsidP="00000000" w:rsidRDefault="00000000" w:rsidRPr="00000000" w14:paraId="00000092">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Tallinn Manual articulates 154 "black letter" rules that restate international law as it applies to cyber operations, accompanied by extensive commentary. These rules cover various aspects, including sovereignty, state responsibility, the use of force, and international humanitarian law in cyberspace. The manual serves as a comprehensive guide for legal advisers and policymakers navigating the complexities of cyber operations within the existing legal framework.</w:t>
      </w:r>
    </w:p>
    <w:p w:rsidR="00000000" w:rsidDel="00000000" w:rsidP="00000000" w:rsidRDefault="00000000" w:rsidRPr="00000000" w14:paraId="00000093">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mkghjr3vok0b" w:id="55"/>
      <w:bookmarkEnd w:id="55"/>
      <w:r w:rsidDel="00000000" w:rsidR="00000000" w:rsidRPr="00000000">
        <w:rPr>
          <w:rFonts w:ascii="Times New Roman" w:cs="Times New Roman" w:eastAsia="Times New Roman" w:hAnsi="Times New Roman"/>
          <w:color w:val="000000"/>
          <w:sz w:val="24"/>
          <w:szCs w:val="24"/>
          <w:rtl w:val="0"/>
        </w:rPr>
        <w:t xml:space="preserve">Efficacy and Enforcement</w:t>
      </w:r>
    </w:p>
    <w:p w:rsidR="00000000" w:rsidDel="00000000" w:rsidP="00000000" w:rsidRDefault="00000000" w:rsidRPr="00000000" w14:paraId="00000094">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a non-binding academic resource, the Tallinn Manual does not possess enforcement mechanisms. Its efficacy lies in its influence on state practice, legal scholarship, and the development of norms in cyberspace. While it does not compel compliance, the manual has been instrumental in shaping discussions and interpretations of how international law applies to cyber operations.</w:t>
      </w:r>
    </w:p>
    <w:p w:rsidR="00000000" w:rsidDel="00000000" w:rsidP="00000000" w:rsidRDefault="00000000" w:rsidRPr="00000000" w14:paraId="00000095">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dwdu3adlp2lh" w:id="56"/>
      <w:bookmarkEnd w:id="56"/>
      <w:r w:rsidDel="00000000" w:rsidR="00000000" w:rsidRPr="00000000">
        <w:rPr>
          <w:rFonts w:ascii="Times New Roman" w:cs="Times New Roman" w:eastAsia="Times New Roman" w:hAnsi="Times New Roman"/>
          <w:sz w:val="24"/>
          <w:szCs w:val="24"/>
          <w:rtl w:val="0"/>
        </w:rPr>
        <w:t xml:space="preserve">Montreal Protocol</w:t>
      </w:r>
      <w:r w:rsidDel="00000000" w:rsidR="00000000" w:rsidRPr="00000000">
        <w:rPr>
          <w:rtl w:val="0"/>
        </w:rPr>
      </w:r>
    </w:p>
    <w:p w:rsidR="00000000" w:rsidDel="00000000" w:rsidP="00000000" w:rsidRDefault="00000000" w:rsidRPr="00000000" w14:paraId="00000096">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Montreal Protocol, adopted in 1987, is a landmark international treaty aimed at phasing out the production and consumption of substances that deplete the ozone layer. It has achieved universal ratification by 197 countries, making it the first treaty in United Nations history to attain such widespread acceptance.</w:t>
      </w:r>
      <w:r w:rsidDel="00000000" w:rsidR="00000000" w:rsidRPr="00000000">
        <w:rPr>
          <w:rFonts w:ascii="Times New Roman" w:cs="Times New Roman" w:eastAsia="Times New Roman" w:hAnsi="Times New Roman"/>
          <w:sz w:val="24"/>
          <w:szCs w:val="24"/>
          <w:vertAlign w:val="superscript"/>
        </w:rPr>
        <w:footnoteReference w:customMarkFollows="0" w:id="93"/>
      </w:r>
      <w:r w:rsidDel="00000000" w:rsidR="00000000" w:rsidRPr="00000000">
        <w:rPr>
          <w:rtl w:val="0"/>
        </w:rPr>
      </w:r>
    </w:p>
    <w:p w:rsidR="00000000" w:rsidDel="00000000" w:rsidP="00000000" w:rsidRDefault="00000000" w:rsidRPr="00000000" w14:paraId="00000097">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rzsswwha0c26" w:id="57"/>
      <w:bookmarkEnd w:id="57"/>
      <w:r w:rsidDel="00000000" w:rsidR="00000000" w:rsidRPr="00000000">
        <w:rPr>
          <w:rFonts w:ascii="Times New Roman" w:cs="Times New Roman" w:eastAsia="Times New Roman" w:hAnsi="Times New Roman"/>
          <w:color w:val="000000"/>
          <w:sz w:val="24"/>
          <w:szCs w:val="24"/>
          <w:rtl w:val="0"/>
        </w:rPr>
        <w:t xml:space="preserve">Signatories</w:t>
      </w:r>
    </w:p>
    <w:p w:rsidR="00000000" w:rsidDel="00000000" w:rsidP="00000000" w:rsidRDefault="00000000" w:rsidRPr="00000000" w14:paraId="00000098">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Protocol's universal ratification underscores a global commitment to environmental preservation. Both developed and developing nations have agreed to binding obligations, with specific timelines tailored to their unique circumstances. Developed countries initiated the phase-out of ozone-depleting substances (ODS) earlier, while developing nations, referred to as Article 5 countries, were granted extended timelines and financial assistance to facilitate compliance. </w:t>
      </w:r>
      <w:r w:rsidDel="00000000" w:rsidR="00000000" w:rsidRPr="00000000">
        <w:rPr>
          <w:rFonts w:ascii="Times New Roman" w:cs="Times New Roman" w:eastAsia="Times New Roman" w:hAnsi="Times New Roman"/>
          <w:sz w:val="24"/>
          <w:szCs w:val="24"/>
          <w:vertAlign w:val="superscript"/>
        </w:rPr>
        <w:footnoteReference w:customMarkFollows="0" w:id="94"/>
      </w:r>
      <w:r w:rsidDel="00000000" w:rsidR="00000000" w:rsidRPr="00000000">
        <w:rPr>
          <w:rtl w:val="0"/>
        </w:rPr>
      </w:r>
    </w:p>
    <w:p w:rsidR="00000000" w:rsidDel="00000000" w:rsidP="00000000" w:rsidRDefault="00000000" w:rsidRPr="00000000" w14:paraId="00000099">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rpw7wsnf1hfy" w:id="58"/>
      <w:bookmarkEnd w:id="58"/>
      <w:r w:rsidDel="00000000" w:rsidR="00000000" w:rsidRPr="00000000">
        <w:rPr>
          <w:rFonts w:ascii="Times New Roman" w:cs="Times New Roman" w:eastAsia="Times New Roman" w:hAnsi="Times New Roman"/>
          <w:color w:val="000000"/>
          <w:sz w:val="24"/>
          <w:szCs w:val="24"/>
          <w:rtl w:val="0"/>
        </w:rPr>
        <w:t xml:space="preserve">Government vs. Private Involvement</w:t>
      </w:r>
    </w:p>
    <w:p w:rsidR="00000000" w:rsidDel="00000000" w:rsidP="00000000" w:rsidRDefault="00000000" w:rsidRPr="00000000" w14:paraId="0000009A">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Unlike nuclear proliferation, where state control dominates, the Montreal Protocol required both government and corporate compliance. The treaty mandated corporate responsibility in phasing out harmful chemicals (CFCs and HCFCs), while governments provided regulatory frameworks and incentives. This hybrid approach could serve as a model for AI governance, requiring companies to follow international standards while states enforce compliance.</w:t>
      </w:r>
    </w:p>
    <w:p w:rsidR="00000000" w:rsidDel="00000000" w:rsidP="00000000" w:rsidRDefault="00000000" w:rsidRPr="00000000" w14:paraId="0000009B">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hnewrydb2fbr" w:id="59"/>
      <w:bookmarkEnd w:id="59"/>
      <w:r w:rsidDel="00000000" w:rsidR="00000000" w:rsidRPr="00000000">
        <w:rPr>
          <w:rFonts w:ascii="Times New Roman" w:cs="Times New Roman" w:eastAsia="Times New Roman" w:hAnsi="Times New Roman"/>
          <w:color w:val="000000"/>
          <w:sz w:val="24"/>
          <w:szCs w:val="24"/>
          <w:rtl w:val="0"/>
        </w:rPr>
        <w:t xml:space="preserve">Perceived Danger</w:t>
      </w:r>
    </w:p>
    <w:p w:rsidR="00000000" w:rsidDel="00000000" w:rsidP="00000000" w:rsidRDefault="00000000" w:rsidRPr="00000000" w14:paraId="0000009C">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time of the Protocol’s negotiation, there was strong scientific consensus on the dangers of ozone depletion, but industries initially resisted regulation. However, clear economic incentives, including subsidies for alternative technologies, helped align corporate interests with regulatory goals. AI governance may require a similar balance of risk mitigation and innovation incentives to secure international cooperation.</w:t>
      </w:r>
    </w:p>
    <w:p w:rsidR="00000000" w:rsidDel="00000000" w:rsidP="00000000" w:rsidRDefault="00000000" w:rsidRPr="00000000" w14:paraId="0000009D">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Climate change poses long-term, physical threats to ecosystems and human societies, such as rising sea levels, extreme weather, and resource scarcity, driven by greenhouse gas emissions. Its impacts are slow-moving but increasingly irreversible without significant mitigation efforts. In contrast, AI risks are systemic and multifaceted, including disinformation, job displacement, and potential misuse in warfare or surveillance. AI's rapid development creates near-term and unpredictable societal disruptions, with cascading effects across political, economic, and ecological systems. </w:t>
      </w:r>
    </w:p>
    <w:p w:rsidR="00000000" w:rsidDel="00000000" w:rsidP="00000000" w:rsidRDefault="00000000" w:rsidRPr="00000000" w14:paraId="0000009E">
      <w:pPr>
        <w:pStyle w:val="Heading3"/>
        <w:numPr>
          <w:ilvl w:val="2"/>
          <w:numId w:val="1"/>
        </w:numPr>
        <w:spacing w:after="0" w:before="0" w:line="480" w:lineRule="auto"/>
        <w:ind w:left="2160" w:hanging="360"/>
        <w:rPr>
          <w:rFonts w:ascii="Times New Roman" w:cs="Times New Roman" w:eastAsia="Times New Roman" w:hAnsi="Times New Roman"/>
          <w:color w:val="000000"/>
          <w:sz w:val="24"/>
          <w:szCs w:val="24"/>
        </w:rPr>
      </w:pPr>
      <w:bookmarkStart w:colFirst="0" w:colLast="0" w:name="_q3dqlemt83iz" w:id="60"/>
      <w:bookmarkEnd w:id="60"/>
      <w:r w:rsidDel="00000000" w:rsidR="00000000" w:rsidRPr="00000000">
        <w:rPr>
          <w:rFonts w:ascii="Times New Roman" w:cs="Times New Roman" w:eastAsia="Times New Roman" w:hAnsi="Times New Roman"/>
          <w:color w:val="000000"/>
          <w:sz w:val="24"/>
          <w:szCs w:val="24"/>
          <w:rtl w:val="0"/>
        </w:rPr>
        <w:t xml:space="preserve">Key Features</w:t>
      </w:r>
      <w:r w:rsidDel="00000000" w:rsidR="00000000" w:rsidRPr="00000000">
        <w:rPr>
          <w:rtl w:val="0"/>
        </w:rPr>
      </w:r>
    </w:p>
    <w:p w:rsidR="00000000" w:rsidDel="00000000" w:rsidP="00000000" w:rsidRDefault="00000000" w:rsidRPr="00000000" w14:paraId="0000009F">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Several critical elements contribute to the Montreal Protocol's effectiveness:</w:t>
      </w:r>
    </w:p>
    <w:p w:rsidR="00000000" w:rsidDel="00000000" w:rsidP="00000000" w:rsidRDefault="00000000" w:rsidRPr="00000000" w14:paraId="000000A0">
      <w:pPr>
        <w:numPr>
          <w:ilvl w:val="0"/>
          <w:numId w:val="5"/>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Binding Commitments: </w:t>
      </w:r>
      <w:r w:rsidDel="00000000" w:rsidR="00000000" w:rsidRPr="00000000">
        <w:rPr>
          <w:rFonts w:ascii="Times New Roman" w:cs="Times New Roman" w:eastAsia="Times New Roman" w:hAnsi="Times New Roman"/>
          <w:sz w:val="24"/>
          <w:szCs w:val="24"/>
          <w:rtl w:val="0"/>
        </w:rPr>
        <w:t xml:space="preserve">The treaty establishes legally binding schedules for reducing and eventually eliminating ODS. These commitments are enforceable, ensuring that parties adhere to their obligations.</w:t>
      </w:r>
      <w:r w:rsidDel="00000000" w:rsidR="00000000" w:rsidRPr="00000000">
        <w:rPr>
          <w:rFonts w:ascii="Times New Roman" w:cs="Times New Roman" w:eastAsia="Times New Roman" w:hAnsi="Times New Roman"/>
          <w:sz w:val="24"/>
          <w:szCs w:val="24"/>
          <w:vertAlign w:val="superscript"/>
        </w:rPr>
        <w:footnoteReference w:customMarkFollows="0" w:id="95"/>
      </w:r>
      <w:r w:rsidDel="00000000" w:rsidR="00000000" w:rsidRPr="00000000">
        <w:rPr>
          <w:rtl w:val="0"/>
        </w:rPr>
      </w:r>
    </w:p>
    <w:p w:rsidR="00000000" w:rsidDel="00000000" w:rsidP="00000000" w:rsidRDefault="00000000" w:rsidRPr="00000000" w14:paraId="000000A1">
      <w:pPr>
        <w:numPr>
          <w:ilvl w:val="0"/>
          <w:numId w:val="5"/>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Enforcement Mechanisms:</w:t>
      </w:r>
      <w:r w:rsidDel="00000000" w:rsidR="00000000" w:rsidRPr="00000000">
        <w:rPr>
          <w:rFonts w:ascii="Times New Roman" w:cs="Times New Roman" w:eastAsia="Times New Roman" w:hAnsi="Times New Roman"/>
          <w:sz w:val="24"/>
          <w:szCs w:val="24"/>
          <w:rtl w:val="0"/>
        </w:rPr>
        <w:t xml:space="preserve"> To ensure compliance, the Protocol incorporates enforcement measures, including trade restrictions for non-compliant parties. This approach deters violations and promotes adherence to the treaty's provisions.</w:t>
      </w:r>
      <w:r w:rsidDel="00000000" w:rsidR="00000000" w:rsidRPr="00000000">
        <w:rPr>
          <w:rFonts w:ascii="Times New Roman" w:cs="Times New Roman" w:eastAsia="Times New Roman" w:hAnsi="Times New Roman"/>
          <w:sz w:val="24"/>
          <w:szCs w:val="24"/>
          <w:vertAlign w:val="superscript"/>
        </w:rPr>
        <w:footnoteReference w:customMarkFollows="0" w:id="96"/>
      </w:r>
      <w:r w:rsidDel="00000000" w:rsidR="00000000" w:rsidRPr="00000000">
        <w:rPr>
          <w:rtl w:val="0"/>
        </w:rPr>
      </w:r>
    </w:p>
    <w:p w:rsidR="00000000" w:rsidDel="00000000" w:rsidP="00000000" w:rsidRDefault="00000000" w:rsidRPr="00000000" w14:paraId="000000A2">
      <w:pPr>
        <w:numPr>
          <w:ilvl w:val="0"/>
          <w:numId w:val="5"/>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Financial and Technical Assistance:</w:t>
      </w:r>
      <w:r w:rsidDel="00000000" w:rsidR="00000000" w:rsidRPr="00000000">
        <w:rPr>
          <w:rFonts w:ascii="Times New Roman" w:cs="Times New Roman" w:eastAsia="Times New Roman" w:hAnsi="Times New Roman"/>
          <w:sz w:val="24"/>
          <w:szCs w:val="24"/>
          <w:rtl w:val="0"/>
        </w:rPr>
        <w:t xml:space="preserve"> Recognizing the challenges faced by developing nations, the Protocol established the Multilateral Fund. This fund provides financial and technical support to assist these countries in meeting their phase-out obligations, ensuring equitable participation and facilitating global compliance.</w:t>
      </w:r>
      <w:r w:rsidDel="00000000" w:rsidR="00000000" w:rsidRPr="00000000">
        <w:rPr>
          <w:rFonts w:ascii="Times New Roman" w:cs="Times New Roman" w:eastAsia="Times New Roman" w:hAnsi="Times New Roman"/>
          <w:sz w:val="24"/>
          <w:szCs w:val="24"/>
          <w:vertAlign w:val="superscript"/>
        </w:rPr>
        <w:footnoteReference w:customMarkFollows="0" w:id="97"/>
      </w:r>
      <w:r w:rsidDel="00000000" w:rsidR="00000000" w:rsidRPr="00000000">
        <w:rPr>
          <w:rtl w:val="0"/>
        </w:rPr>
      </w:r>
    </w:p>
    <w:p w:rsidR="00000000" w:rsidDel="00000000" w:rsidP="00000000" w:rsidRDefault="00000000" w:rsidRPr="00000000" w14:paraId="000000A3">
      <w:pPr>
        <w:numPr>
          <w:ilvl w:val="0"/>
          <w:numId w:val="5"/>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Science-Based Decision Making: </w:t>
      </w:r>
      <w:r w:rsidDel="00000000" w:rsidR="00000000" w:rsidRPr="00000000">
        <w:rPr>
          <w:rFonts w:ascii="Times New Roman" w:cs="Times New Roman" w:eastAsia="Times New Roman" w:hAnsi="Times New Roman"/>
          <w:sz w:val="24"/>
          <w:szCs w:val="24"/>
          <w:rtl w:val="0"/>
        </w:rPr>
        <w:t xml:space="preserve">The Protocol's provisions include the requirement that parties base their future decisions on current scientific, environmental, technical, and economic information. This approach ensures that policies remain effective and responsive to emerging challenges.</w:t>
      </w:r>
      <w:r w:rsidDel="00000000" w:rsidR="00000000" w:rsidRPr="00000000">
        <w:rPr>
          <w:rFonts w:ascii="Times New Roman" w:cs="Times New Roman" w:eastAsia="Times New Roman" w:hAnsi="Times New Roman"/>
          <w:sz w:val="24"/>
          <w:szCs w:val="24"/>
          <w:vertAlign w:val="superscript"/>
        </w:rPr>
        <w:footnoteReference w:customMarkFollows="0" w:id="98"/>
      </w:r>
      <w:r w:rsidDel="00000000" w:rsidR="00000000" w:rsidRPr="00000000">
        <w:rPr>
          <w:rtl w:val="0"/>
        </w:rPr>
      </w:r>
    </w:p>
    <w:p w:rsidR="00000000" w:rsidDel="00000000" w:rsidP="00000000" w:rsidRDefault="00000000" w:rsidRPr="00000000" w14:paraId="000000A4">
      <w:pPr>
        <w:numPr>
          <w:ilvl w:val="2"/>
          <w:numId w:val="1"/>
        </w:numPr>
        <w:spacing w:after="0" w:before="0" w:line="480" w:lineRule="auto"/>
        <w:ind w:left="21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Efficacy and Enforcement</w:t>
      </w:r>
    </w:p>
    <w:p w:rsidR="00000000" w:rsidDel="00000000" w:rsidP="00000000" w:rsidRDefault="00000000" w:rsidRPr="00000000" w14:paraId="000000A5">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Montreal Protocol is widely considered one of the most successful environmental treaties. Ozone-depleting substances were dramatically reduced, and the ozone layer is recovering. This success was due to its binding commitments, enforcement mechanisms, and incentives for compliance. The AI sector, similarly characterized by technological complexity and geopolitical competition, could benefit from such an approach to ensure alignment and safety.</w:t>
      </w:r>
    </w:p>
    <w:p w:rsidR="00000000" w:rsidDel="00000000" w:rsidP="00000000" w:rsidRDefault="00000000" w:rsidRPr="00000000" w14:paraId="000000A6">
      <w:pPr>
        <w:pStyle w:val="Heading3"/>
        <w:numPr>
          <w:ilvl w:val="1"/>
          <w:numId w:val="1"/>
        </w:numPr>
        <w:spacing w:after="0" w:before="0" w:line="480" w:lineRule="auto"/>
        <w:ind w:left="1440" w:hanging="360"/>
        <w:rPr>
          <w:rFonts w:ascii="Times New Roman" w:cs="Times New Roman" w:eastAsia="Times New Roman" w:hAnsi="Times New Roman"/>
          <w:color w:val="000000"/>
          <w:sz w:val="24"/>
          <w:szCs w:val="24"/>
        </w:rPr>
      </w:pPr>
      <w:bookmarkStart w:colFirst="0" w:colLast="0" w:name="_ns86a7lc84xh" w:id="61"/>
      <w:bookmarkEnd w:id="61"/>
      <w:r w:rsidDel="00000000" w:rsidR="00000000" w:rsidRPr="00000000">
        <w:rPr>
          <w:rFonts w:ascii="Times New Roman" w:cs="Times New Roman" w:eastAsia="Times New Roman" w:hAnsi="Times New Roman"/>
          <w:color w:val="000000"/>
          <w:sz w:val="24"/>
          <w:szCs w:val="24"/>
          <w:rtl w:val="0"/>
        </w:rPr>
        <w:t xml:space="preserve">Comparison with Paris Climate Accords</w:t>
      </w:r>
    </w:p>
    <w:p w:rsidR="00000000" w:rsidDel="00000000" w:rsidP="00000000" w:rsidRDefault="00000000" w:rsidRPr="00000000" w14:paraId="000000A7">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both the Montreal Protocol and the Paris Climate Accords aim to address critical environmental issues, their approaches differ significantly. The Montreal Protocol imposes binding commitments with enforceable phase-out schedules for ODS, coupled with robust enforcement mechanisms. In contrast, the Paris Agreement relies on voluntary Nationally Determined Contributions (NDCs), where countries set their own emission reduction targets without legally binding enforcement provisions. The key distinction between the two is enforcement: the Montreal Protocol mandated phase-outs with trade penalties, while the Paris Agreement relies on voluntary commitments, leading to inconsistent results.</w:t>
      </w:r>
      <w:r w:rsidDel="00000000" w:rsidR="00000000" w:rsidRPr="00000000">
        <w:rPr>
          <w:rFonts w:ascii="Times New Roman" w:cs="Times New Roman" w:eastAsia="Times New Roman" w:hAnsi="Times New Roman"/>
          <w:sz w:val="24"/>
          <w:szCs w:val="24"/>
          <w:vertAlign w:val="superscript"/>
        </w:rPr>
        <w:footnoteReference w:customMarkFollows="0" w:id="99"/>
      </w:r>
      <w:r w:rsidDel="00000000" w:rsidR="00000000" w:rsidRPr="00000000">
        <w:rPr>
          <w:rtl w:val="0"/>
        </w:rPr>
      </w:r>
    </w:p>
    <w:p w:rsidR="00000000" w:rsidDel="00000000" w:rsidP="00000000" w:rsidRDefault="00000000" w:rsidRPr="00000000" w14:paraId="000000A8">
      <w:pPr>
        <w:pStyle w:val="Heading1"/>
        <w:numPr>
          <w:ilvl w:val="0"/>
          <w:numId w:val="1"/>
        </w:numPr>
        <w:spacing w:after="0" w:before="0" w:line="480" w:lineRule="auto"/>
        <w:ind w:left="720" w:hanging="360"/>
        <w:rPr>
          <w:rFonts w:ascii="Times New Roman" w:cs="Times New Roman" w:eastAsia="Times New Roman" w:hAnsi="Times New Roman"/>
          <w:b w:val="1"/>
          <w:bCs w:val="1"/>
          <w:sz w:val="24"/>
          <w:szCs w:val="24"/>
        </w:rPr>
      </w:pPr>
      <w:bookmarkStart w:colFirst="0" w:colLast="0" w:name="_rkano8ia5zq" w:id="62"/>
      <w:bookmarkEnd w:id="62"/>
      <w:r w:rsidDel="00000000" w:rsidR="00000000" w:rsidRPr="00000000">
        <w:rPr>
          <w:rFonts w:ascii="Times New Roman" w:cs="Times New Roman" w:eastAsia="Times New Roman" w:hAnsi="Times New Roman"/>
          <w:b w:val="1"/>
          <w:bCs w:val="1"/>
          <w:sz w:val="24"/>
          <w:szCs w:val="24"/>
          <w:rtl w:val="0"/>
        </w:rPr>
        <w:t xml:space="preserve">Case Study Overall Analysis</w:t>
      </w:r>
    </w:p>
    <w:p w:rsidR="00000000" w:rsidDel="00000000" w:rsidP="00000000" w:rsidRDefault="00000000" w:rsidRPr="00000000" w14:paraId="000000A9">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case studies examined in this paper offer insights into the challenges and possibilities of international AI regulation. Each illustrates different approaches to governance, enforcement, and compliance, revealing both successful models and pitfalls to avoid in developing a global framework for AI.</w:t>
      </w:r>
    </w:p>
    <w:p w:rsidR="00000000" w:rsidDel="00000000" w:rsidP="00000000" w:rsidRDefault="00000000" w:rsidRPr="00000000" w14:paraId="000000AA">
      <w:pPr>
        <w:pStyle w:val="Heading2"/>
        <w:numPr>
          <w:ilvl w:val="0"/>
          <w:numId w:val="4"/>
        </w:numPr>
        <w:spacing w:after="0" w:before="0" w:line="480" w:lineRule="auto"/>
        <w:ind w:left="1440" w:hanging="360"/>
        <w:rPr>
          <w:rFonts w:ascii="Times New Roman" w:cs="Times New Roman" w:eastAsia="Times New Roman" w:hAnsi="Times New Roman"/>
          <w:sz w:val="24"/>
          <w:szCs w:val="24"/>
        </w:rPr>
      </w:pPr>
      <w:bookmarkStart w:colFirst="0" w:colLast="0" w:name="_skaunr4mm36m" w:id="63"/>
      <w:bookmarkEnd w:id="63"/>
      <w:r w:rsidDel="00000000" w:rsidR="00000000" w:rsidRPr="00000000">
        <w:rPr>
          <w:rFonts w:ascii="Times New Roman" w:cs="Times New Roman" w:eastAsia="Times New Roman" w:hAnsi="Times New Roman"/>
          <w:sz w:val="24"/>
          <w:szCs w:val="24"/>
          <w:rtl w:val="0"/>
        </w:rPr>
        <w:t xml:space="preserve">Enforcement and Compliance: The NPT, the Montreal Protocol, and the Paris Agreement</w:t>
      </w:r>
      <w:r w:rsidDel="00000000" w:rsidR="00000000" w:rsidRPr="00000000">
        <w:rPr>
          <w:rtl w:val="0"/>
        </w:rPr>
      </w:r>
    </w:p>
    <w:p w:rsidR="00000000" w:rsidDel="00000000" w:rsidP="00000000" w:rsidRDefault="00000000" w:rsidRPr="00000000" w14:paraId="000000AB">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Nuclear Non-Proliferation Treaty (NPT) provides a model for restricting dangerous technologies by imposing verification mechanisms and security guarantees. The treaty succeeded in limiting nuclear weapons development in many countries, but its effectiveness depends on enforcement by major powers—primarily the U.S. and its allies. However, the NPT also highlights the limits of enforcement, as countries like North Korea have withdrawn, and others (e.g., Iran) have pursued nuclear programs despite the treaty. The AI parallel is clear: an AI treaty will fail without strong enforcement from major AI-developing nations (U.S., China, EU). Additionally, some states may ignore or secretly violate AI restrictions if they believe AGI development offers a strategic or economic advantage.</w:t>
      </w:r>
    </w:p>
    <w:p w:rsidR="00000000" w:rsidDel="00000000" w:rsidP="00000000" w:rsidRDefault="00000000" w:rsidRPr="00000000" w14:paraId="000000AC">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contrast, the Montreal Protocol provides an example of a highly successful international treaty with near-universal compliance. Its success can be attributed to several key features:</w:t>
      </w:r>
    </w:p>
    <w:p w:rsidR="00000000" w:rsidDel="00000000" w:rsidP="00000000" w:rsidRDefault="00000000" w:rsidRPr="00000000" w14:paraId="000000AD">
      <w:pPr>
        <w:numPr>
          <w:ilvl w:val="0"/>
          <w:numId w:val="2"/>
        </w:numPr>
        <w:spacing w:after="0" w:before="0" w:line="48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Binding Commitments – Unlike the Paris Agreement’s voluntary approach, the Montreal Protocol imposed clear, enforceable phase-out schedules for ozone-depleting substances.</w:t>
      </w:r>
    </w:p>
    <w:p w:rsidR="00000000" w:rsidDel="00000000" w:rsidP="00000000" w:rsidRDefault="00000000" w:rsidRPr="00000000" w14:paraId="000000AE">
      <w:pPr>
        <w:numPr>
          <w:ilvl w:val="0"/>
          <w:numId w:val="2"/>
        </w:numPr>
        <w:spacing w:after="0" w:before="0" w:line="48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Economic Incentives for Compliance – Trade restrictions on non-compliant nations and financial support for developing countries ensured global participation.</w:t>
      </w:r>
    </w:p>
    <w:p w:rsidR="00000000" w:rsidDel="00000000" w:rsidP="00000000" w:rsidRDefault="00000000" w:rsidRPr="00000000" w14:paraId="000000AF">
      <w:pPr>
        <w:numPr>
          <w:ilvl w:val="0"/>
          <w:numId w:val="2"/>
        </w:numPr>
        <w:spacing w:after="0" w:before="0" w:line="48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Adaptability – The treaty was periodically updated as new scientific findings emerged, allowing for policy flexibility—a critical feature for AI governance as risks evolve.</w:t>
      </w:r>
    </w:p>
    <w:p w:rsidR="00000000" w:rsidDel="00000000" w:rsidP="00000000" w:rsidRDefault="00000000" w:rsidRPr="00000000" w14:paraId="000000B0">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Paris Agreement, by contrast, illustrates the challenges of a voluntary framework. While it succeeded in securing widespread participation, its lack of enforcement mechanisms resulted in uneven compliance, as countries were free to set their own emissions targets with no penalties for failing to meet them.</w:t>
      </w:r>
      <w:r w:rsidDel="00000000" w:rsidR="00000000" w:rsidRPr="00000000">
        <w:rPr>
          <w:rFonts w:ascii="Times New Roman" w:cs="Times New Roman" w:eastAsia="Times New Roman" w:hAnsi="Times New Roman"/>
          <w:sz w:val="24"/>
          <w:szCs w:val="24"/>
          <w:vertAlign w:val="superscript"/>
        </w:rPr>
        <w:footnoteReference w:customMarkFollows="0" w:id="100"/>
      </w:r>
      <w:r w:rsidDel="00000000" w:rsidR="00000000" w:rsidRPr="00000000">
        <w:rPr>
          <w:rFonts w:ascii="Times New Roman" w:cs="Times New Roman" w:eastAsia="Times New Roman" w:hAnsi="Times New Roman"/>
          <w:sz w:val="24"/>
          <w:szCs w:val="24"/>
          <w:rtl w:val="0"/>
        </w:rPr>
        <w:t xml:space="preserve"> This model demonstrates the pitfalls of a voluntary AI governance approach—without strong enforcement and economic incentives, compliance will be inconsistent, and competitive pressures may drive nations and corporations to prioritize AI development over safety.</w:t>
      </w:r>
    </w:p>
    <w:p w:rsidR="00000000" w:rsidDel="00000000" w:rsidP="00000000" w:rsidRDefault="00000000" w:rsidRPr="00000000" w14:paraId="000000B1">
      <w:pPr>
        <w:spacing w:after="0" w:before="0" w:line="480" w:lineRule="auto"/>
        <w:ind w:firstLine="720"/>
        <w:rPr/>
      </w:pPr>
      <w:r w:rsidDel="00000000" w:rsidR="00000000" w:rsidRPr="00000000">
        <w:rPr>
          <w:rFonts w:ascii="Times New Roman" w:cs="Times New Roman" w:eastAsia="Times New Roman" w:hAnsi="Times New Roman"/>
          <w:sz w:val="24"/>
          <w:szCs w:val="24"/>
          <w:rtl w:val="0"/>
        </w:rPr>
        <w:t xml:space="preserve">For AI regulation, these lessons suggest that a staged approach with binding commitments, enforcement tools (e.g., trade controls), and mechanisms for adaptation would be more effective than voluntary frameworks. While AI risks are less immediately visible than ozone depletion, aligning economic incentives (such as subsidies for AI safety measures and penalties for unsafe development) could help drive cooperation.</w:t>
      </w:r>
      <w:r w:rsidDel="00000000" w:rsidR="00000000" w:rsidRPr="00000000">
        <w:rPr>
          <w:rtl w:val="0"/>
        </w:rPr>
      </w:r>
    </w:p>
    <w:p w:rsidR="00000000" w:rsidDel="00000000" w:rsidP="00000000" w:rsidRDefault="00000000" w:rsidRPr="00000000" w14:paraId="000000B2">
      <w:pPr>
        <w:pStyle w:val="Heading2"/>
        <w:numPr>
          <w:ilvl w:val="0"/>
          <w:numId w:val="4"/>
        </w:numPr>
        <w:spacing w:after="0" w:before="0" w:line="480" w:lineRule="auto"/>
        <w:ind w:left="1440" w:hanging="360"/>
        <w:rPr>
          <w:rFonts w:ascii="Times New Roman" w:cs="Times New Roman" w:eastAsia="Times New Roman" w:hAnsi="Times New Roman"/>
          <w:sz w:val="24"/>
          <w:szCs w:val="24"/>
        </w:rPr>
      </w:pPr>
      <w:bookmarkStart w:colFirst="0" w:colLast="0" w:name="_lrrrw1cb26nj" w:id="64"/>
      <w:bookmarkEnd w:id="64"/>
      <w:r w:rsidDel="00000000" w:rsidR="00000000" w:rsidRPr="00000000">
        <w:rPr>
          <w:rFonts w:ascii="Times New Roman" w:cs="Times New Roman" w:eastAsia="Times New Roman" w:hAnsi="Times New Roman"/>
          <w:sz w:val="24"/>
          <w:szCs w:val="24"/>
          <w:rtl w:val="0"/>
        </w:rPr>
        <w:t xml:space="preserve">Legal Frameworks and Soft Law: The Tallinn Manual, the Artemis Accords, and the Universal Declaration on the Human Genome</w:t>
      </w:r>
    </w:p>
    <w:p w:rsidR="00000000" w:rsidDel="00000000" w:rsidP="00000000" w:rsidRDefault="00000000" w:rsidRPr="00000000" w14:paraId="000000B3">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Tallinn Manual, a non-binding but highly influential document on cyber warfare and international law, illustrates the limits of soft law in emerging technologies. It has provided legal interpretations of how international law applies to cyber conflict, but lacks enforcement power, making compliance dependent on voluntary state cooperation. AI regulation faces similar challenges—while legal guidance is valuable, binding enforcement mechanisms are necessary to prevent AI misuse in military and security applications.</w:t>
      </w:r>
    </w:p>
    <w:p w:rsidR="00000000" w:rsidDel="00000000" w:rsidP="00000000" w:rsidRDefault="00000000" w:rsidRPr="00000000" w14:paraId="000000B4">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Artemis Accords, which govern international cooperation on space exploration, provide another soft law model. They offer a voluntary framework for peaceful space activity, but their lack of enforcement mechanisms and exclusion of key players (e.g., Russia, China) limits their effectiveness. This highlights a key issue for AI regulation: without buy-in from dominant AI powers, any international agreement will struggle to achieve legitimacy and compliance.</w:t>
      </w:r>
    </w:p>
    <w:p w:rsidR="00000000" w:rsidDel="00000000" w:rsidP="00000000" w:rsidRDefault="00000000" w:rsidRPr="00000000" w14:paraId="000000B5">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Universal Declaration on the Human Genome and Human Rights (</w:t>
      </w:r>
      <w:r w:rsidDel="00000000" w:rsidR="00000000" w:rsidRPr="00000000">
        <w:rPr>
          <w:rFonts w:ascii="Times New Roman" w:cs="Times New Roman" w:eastAsia="Times New Roman" w:hAnsi="Times New Roman"/>
          <w:sz w:val="24"/>
          <w:szCs w:val="24"/>
          <w:rtl w:val="0"/>
        </w:rPr>
        <w:t xml:space="preserve">UDHGHR</w:t>
      </w:r>
      <w:r w:rsidDel="00000000" w:rsidR="00000000" w:rsidRPr="00000000">
        <w:rPr>
          <w:rFonts w:ascii="Times New Roman" w:cs="Times New Roman" w:eastAsia="Times New Roman" w:hAnsi="Times New Roman"/>
          <w:sz w:val="24"/>
          <w:szCs w:val="24"/>
          <w:rtl w:val="0"/>
        </w:rPr>
        <w:t xml:space="preserve">), adopted by UNESCO in 1997, adds another dimension to AI governance. This declaration established ethical boundaries for genetic research and biotechnology, emphasizing the protection of human dignity and fundamental rights in scientific advancement. While non-binding, it has influenced domestic regulations and ethical guidelines worldwide. AI regulation could benefit from a similar global declaration, setting ethical standards for AI development, particularly in areas such as biometric surveillance, predictive policing, and algorithmic decision-making that impact human rights.</w:t>
      </w:r>
    </w:p>
    <w:p w:rsidR="00000000" w:rsidDel="00000000" w:rsidP="00000000" w:rsidRDefault="00000000" w:rsidRPr="00000000" w14:paraId="000000B6">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sz w:val="24"/>
          <w:szCs w:val="24"/>
          <w:rtl w:val="0"/>
        </w:rPr>
        <w:t xml:space="preserve">UDHGHR</w:t>
      </w:r>
      <w:r w:rsidDel="00000000" w:rsidR="00000000" w:rsidRPr="00000000">
        <w:rPr>
          <w:rFonts w:ascii="Times New Roman" w:cs="Times New Roman" w:eastAsia="Times New Roman" w:hAnsi="Times New Roman"/>
          <w:sz w:val="24"/>
          <w:szCs w:val="24"/>
          <w:rtl w:val="0"/>
        </w:rPr>
        <w:t xml:space="preserve"> also demonstrates the value of global consensus-building even in the absence of direct enforcement mechanisms. AI governance efforts could adopt a dual approach—starting with broad ethical declarations before advancing toward legally binding treaties.</w:t>
      </w:r>
    </w:p>
    <w:p w:rsidR="00000000" w:rsidDel="00000000" w:rsidP="00000000" w:rsidRDefault="00000000" w:rsidRPr="00000000" w14:paraId="000000B7">
      <w:pPr>
        <w:pStyle w:val="Heading2"/>
        <w:numPr>
          <w:ilvl w:val="0"/>
          <w:numId w:val="4"/>
        </w:numPr>
        <w:spacing w:after="0" w:before="0" w:line="480" w:lineRule="auto"/>
        <w:ind w:left="1440" w:hanging="360"/>
        <w:rPr>
          <w:rFonts w:ascii="Times New Roman" w:cs="Times New Roman" w:eastAsia="Times New Roman" w:hAnsi="Times New Roman"/>
          <w:sz w:val="24"/>
          <w:szCs w:val="24"/>
        </w:rPr>
      </w:pPr>
      <w:bookmarkStart w:colFirst="0" w:colLast="0" w:name="_ygbxgi6avhsp" w:id="65"/>
      <w:bookmarkEnd w:id="65"/>
      <w:r w:rsidDel="00000000" w:rsidR="00000000" w:rsidRPr="00000000">
        <w:rPr>
          <w:rFonts w:ascii="Times New Roman" w:cs="Times New Roman" w:eastAsia="Times New Roman" w:hAnsi="Times New Roman"/>
          <w:sz w:val="24"/>
          <w:szCs w:val="24"/>
          <w:rtl w:val="0"/>
        </w:rPr>
        <w:t xml:space="preserve">The Challenge of Shifting Priorities: AI Safety vs. AI Action</w:t>
      </w:r>
    </w:p>
    <w:p w:rsidR="00000000" w:rsidDel="00000000" w:rsidP="00000000" w:rsidRDefault="00000000" w:rsidRPr="00000000" w14:paraId="000000B8">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Existing AI governance discussions reveal the difficulty of securing binding commitments when technological and economic interests dominate the conversation. The recent rebranding of the "AI Safety Summit" in Paris to the "AI Action Summit" underscores how regulatory priorities can shift rapidly. Initially framed as a forum for mitigating existential risks, the summit's focus has shifted toward industry-driven development and economic benefits.</w:t>
      </w:r>
      <w:r w:rsidDel="00000000" w:rsidR="00000000" w:rsidRPr="00000000">
        <w:rPr>
          <w:rFonts w:ascii="Times New Roman" w:cs="Times New Roman" w:eastAsia="Times New Roman" w:hAnsi="Times New Roman"/>
          <w:sz w:val="24"/>
          <w:szCs w:val="24"/>
          <w:vertAlign w:val="superscript"/>
        </w:rPr>
        <w:footnoteReference w:customMarkFollows="0" w:id="101"/>
      </w:r>
      <w:r w:rsidDel="00000000" w:rsidR="00000000" w:rsidRPr="00000000">
        <w:rPr>
          <w:rFonts w:ascii="Times New Roman" w:cs="Times New Roman" w:eastAsia="Times New Roman" w:hAnsi="Times New Roman"/>
          <w:sz w:val="24"/>
          <w:szCs w:val="24"/>
          <w:rtl w:val="0"/>
        </w:rPr>
        <w:t xml:space="preserve"> This serves as a cautionary example: if AI safety efforts are not grounded in clear enforcement mechanisms, they risk being diluted by shifting political and economic priorities.</w:t>
      </w:r>
    </w:p>
    <w:p w:rsidR="00000000" w:rsidDel="00000000" w:rsidP="00000000" w:rsidRDefault="00000000" w:rsidRPr="00000000" w14:paraId="000000B9">
      <w:pPr>
        <w:pStyle w:val="Heading2"/>
        <w:numPr>
          <w:ilvl w:val="0"/>
          <w:numId w:val="4"/>
        </w:numPr>
        <w:spacing w:after="0" w:before="0" w:line="480" w:lineRule="auto"/>
        <w:ind w:left="1440" w:hanging="360"/>
        <w:rPr>
          <w:rFonts w:ascii="Times New Roman" w:cs="Times New Roman" w:eastAsia="Times New Roman" w:hAnsi="Times New Roman"/>
          <w:sz w:val="24"/>
          <w:szCs w:val="24"/>
        </w:rPr>
      </w:pPr>
      <w:bookmarkStart w:colFirst="0" w:colLast="0" w:name="_mel5gnf93vfu" w:id="66"/>
      <w:bookmarkEnd w:id="66"/>
      <w:r w:rsidDel="00000000" w:rsidR="00000000" w:rsidRPr="00000000">
        <w:rPr>
          <w:rFonts w:ascii="Times New Roman" w:cs="Times New Roman" w:eastAsia="Times New Roman" w:hAnsi="Times New Roman"/>
          <w:sz w:val="24"/>
          <w:szCs w:val="24"/>
          <w:rtl w:val="0"/>
        </w:rPr>
        <w:t xml:space="preserve">Key Takeaways for AI Regulation</w:t>
      </w:r>
    </w:p>
    <w:p w:rsidR="00000000" w:rsidDel="00000000" w:rsidP="00000000" w:rsidRDefault="00000000" w:rsidRPr="00000000" w14:paraId="000000BA">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Enforcement Mechanisms Matter – The NPT and Montreal Protocol demonstrate that effective regulation depends on enforcement—whether through trade restrictions, security guarantees, or oversight. AI governance must similarly include penalties for unsafe development and incentives for compliance.</w:t>
      </w:r>
    </w:p>
    <w:p w:rsidR="00000000" w:rsidDel="00000000" w:rsidP="00000000" w:rsidRDefault="00000000" w:rsidRPr="00000000" w14:paraId="000000BB">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Soft Law Alone is Insufficient – While the Tallinn Manual, Artemis Accords, and </w:t>
      </w:r>
      <w:r w:rsidDel="00000000" w:rsidR="00000000" w:rsidRPr="00000000">
        <w:rPr>
          <w:rFonts w:ascii="Times New Roman" w:cs="Times New Roman" w:eastAsia="Times New Roman" w:hAnsi="Times New Roman"/>
          <w:sz w:val="24"/>
          <w:szCs w:val="24"/>
          <w:rtl w:val="0"/>
        </w:rPr>
        <w:t xml:space="preserve">UDHGHR</w:t>
      </w:r>
      <w:r w:rsidDel="00000000" w:rsidR="00000000" w:rsidRPr="00000000">
        <w:rPr>
          <w:rFonts w:ascii="Times New Roman" w:cs="Times New Roman" w:eastAsia="Times New Roman" w:hAnsi="Times New Roman"/>
          <w:sz w:val="24"/>
          <w:szCs w:val="24"/>
          <w:rtl w:val="0"/>
        </w:rPr>
        <w:t xml:space="preserve"> provide useful legal frameworks, their lack of enforcement mechanisms limits their impact. AI regulation will require binding commitments rather than voluntary participation.</w:t>
      </w:r>
    </w:p>
    <w:p w:rsidR="00000000" w:rsidDel="00000000" w:rsidP="00000000" w:rsidRDefault="00000000" w:rsidRPr="00000000" w14:paraId="000000BC">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Flexibility is Essential – The Montreal Protocol’s ability to adapt to new scientific findings made it more effective than rigid treaties. AI regulation must allow for periodic reassessments and modifications to keep pace with technological advancements.</w:t>
      </w:r>
    </w:p>
    <w:p w:rsidR="00000000" w:rsidDel="00000000" w:rsidP="00000000" w:rsidRDefault="00000000" w:rsidRPr="00000000" w14:paraId="000000BD">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Economic Incentives Drive Compliance – The Montreal Protocol’s funding for developing nations played a crucial role in securing participation. AI regulation should offer financial and trade incentives for AI safety measures while penalizing non-compliant actors.</w:t>
      </w:r>
    </w:p>
    <w:p w:rsidR="00000000" w:rsidDel="00000000" w:rsidP="00000000" w:rsidRDefault="00000000" w:rsidRPr="00000000" w14:paraId="000000BE">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Geopolitical Leadership is Key – Just as the NPT depended on U.S. enforcement, AI regulation will require leadership from dominant AI nations (U.S., EU, China). Without buy-in from these actors, compliance will be weak.</w:t>
      </w:r>
    </w:p>
    <w:p w:rsidR="00000000" w:rsidDel="00000000" w:rsidP="00000000" w:rsidRDefault="00000000" w:rsidRPr="00000000" w14:paraId="000000BF">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Regulatory Priorities Can Shift Quickly – The transition from AI Safety to AI Action shows that international AI discourse can be easily co-opted by economic and corporate interests. Regulatory efforts must be institutionalized with legal backing to prevent dilution over time.</w:t>
      </w:r>
    </w:p>
    <w:p w:rsidR="00000000" w:rsidDel="00000000" w:rsidP="00000000" w:rsidRDefault="00000000" w:rsidRPr="00000000" w14:paraId="000000C0">
      <w:pPr>
        <w:spacing w:after="0" w:before="0"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Ethical Norms Can Precede Legal Frameworks – The </w:t>
      </w:r>
      <w:r w:rsidDel="00000000" w:rsidR="00000000" w:rsidRPr="00000000">
        <w:rPr>
          <w:rFonts w:ascii="Times New Roman" w:cs="Times New Roman" w:eastAsia="Times New Roman" w:hAnsi="Times New Roman"/>
          <w:sz w:val="24"/>
          <w:szCs w:val="24"/>
          <w:rtl w:val="0"/>
        </w:rPr>
        <w:t xml:space="preserve">UDHGHR</w:t>
      </w:r>
      <w:r w:rsidDel="00000000" w:rsidR="00000000" w:rsidRPr="00000000">
        <w:rPr>
          <w:rFonts w:ascii="Times New Roman" w:cs="Times New Roman" w:eastAsia="Times New Roman" w:hAnsi="Times New Roman"/>
          <w:sz w:val="24"/>
          <w:szCs w:val="24"/>
          <w:rtl w:val="0"/>
        </w:rPr>
        <w:t xml:space="preserve"> demonstrates the importance of setting ethical boundaries before legal enforcement mechanisms emerge. A similar AI ethics declaration could help establish a foundation for future AI governance.</w:t>
      </w:r>
    </w:p>
    <w:p w:rsidR="00000000" w:rsidDel="00000000" w:rsidP="00000000" w:rsidRDefault="00000000" w:rsidRPr="00000000" w14:paraId="000000C1">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These case studies suggest that a staged, enforcement-backed, and adaptable regulatory framework is necessary for AI safety. The Montreal Protocol provides a strong model for balancing compliance mechanisms, enforcement, and economic incentives, while the NPT underscores the importance of preventing proliferation through verification and security commitments. Meanwhile, the Tallinn Manual, Artemis Accords, and </w:t>
      </w:r>
      <w:r w:rsidDel="00000000" w:rsidR="00000000" w:rsidRPr="00000000">
        <w:rPr>
          <w:rFonts w:ascii="Times New Roman" w:cs="Times New Roman" w:eastAsia="Times New Roman" w:hAnsi="Times New Roman"/>
          <w:sz w:val="24"/>
          <w:szCs w:val="24"/>
          <w:rtl w:val="0"/>
        </w:rPr>
        <w:t xml:space="preserve">UDHGHR</w:t>
      </w:r>
      <w:r w:rsidDel="00000000" w:rsidR="00000000" w:rsidRPr="00000000">
        <w:rPr>
          <w:rFonts w:ascii="Times New Roman" w:cs="Times New Roman" w:eastAsia="Times New Roman" w:hAnsi="Times New Roman"/>
          <w:sz w:val="24"/>
          <w:szCs w:val="24"/>
          <w:rtl w:val="0"/>
        </w:rPr>
        <w:t xml:space="preserve"> illustrate the limitations of non-binding agreements, emphasizing the need for binding commitments in AI regulation.</w:t>
      </w:r>
    </w:p>
    <w:p w:rsidR="00000000" w:rsidDel="00000000" w:rsidP="00000000" w:rsidRDefault="00000000" w:rsidRPr="00000000" w14:paraId="000000C2">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incorporating lessons from these case studies, international AI governance can be structured to balance national security concerns, corporate interests, and international stability—ensuring that AI development aligns with global safety and ethical considerations.</w:t>
      </w:r>
    </w:p>
    <w:p w:rsidR="00000000" w:rsidDel="00000000" w:rsidP="00000000" w:rsidRDefault="00000000" w:rsidRPr="00000000" w14:paraId="000000C3">
      <w:pPr>
        <w:pStyle w:val="Heading1"/>
        <w:numPr>
          <w:ilvl w:val="0"/>
          <w:numId w:val="1"/>
        </w:numPr>
        <w:spacing w:after="0" w:before="0" w:line="480" w:lineRule="auto"/>
        <w:ind w:left="720" w:hanging="360"/>
        <w:rPr>
          <w:rFonts w:ascii="Times New Roman" w:cs="Times New Roman" w:eastAsia="Times New Roman" w:hAnsi="Times New Roman"/>
          <w:b w:val="1"/>
          <w:bCs w:val="1"/>
          <w:sz w:val="24"/>
          <w:szCs w:val="24"/>
        </w:rPr>
      </w:pPr>
      <w:bookmarkStart w:colFirst="0" w:colLast="0" w:name="_mj27w51gdw2k" w:id="67"/>
      <w:bookmarkEnd w:id="67"/>
      <w:r w:rsidDel="00000000" w:rsidR="00000000" w:rsidRPr="00000000">
        <w:rPr>
          <w:rFonts w:ascii="Times New Roman" w:cs="Times New Roman" w:eastAsia="Times New Roman" w:hAnsi="Times New Roman"/>
          <w:b w:val="1"/>
          <w:bCs w:val="1"/>
          <w:sz w:val="24"/>
          <w:szCs w:val="24"/>
          <w:rtl w:val="0"/>
        </w:rPr>
        <w:t xml:space="preserve">My Proposal - A Staged Approach to AI Regulation</w:t>
      </w:r>
    </w:p>
    <w:p w:rsidR="00000000" w:rsidDel="00000000" w:rsidP="00000000" w:rsidRDefault="00000000" w:rsidRPr="00000000" w14:paraId="000000C4">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Given the challenges of national competition, corporate resistance, and the evolving risks associated with AI, a staged approach offers the most realistic pathway to international governance. Instead of attempting to immediately negotiate a binding treaty—an approach likely to face geopolitical obstacles and resistance from major AI developers—this proposal outlines a multi-phase process that builds from non-binding cooperation to legally enforceable mechanisms. This structure would balance initial flexibility with eventual enforceability, following historical precedents such as the Montreal Protocol and the Nuclear Non-Proliferation Treaty (NPT).</w:t>
      </w:r>
    </w:p>
    <w:p w:rsidR="00000000" w:rsidDel="00000000" w:rsidP="00000000" w:rsidRDefault="00000000" w:rsidRPr="00000000" w14:paraId="000000C5">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m3mo6rm0v12c" w:id="68"/>
      <w:bookmarkEnd w:id="68"/>
      <w:r w:rsidDel="00000000" w:rsidR="00000000" w:rsidRPr="00000000">
        <w:rPr>
          <w:rFonts w:ascii="Times New Roman" w:cs="Times New Roman" w:eastAsia="Times New Roman" w:hAnsi="Times New Roman"/>
          <w:sz w:val="24"/>
          <w:szCs w:val="24"/>
          <w:rtl w:val="0"/>
        </w:rPr>
        <w:t xml:space="preserve">Phase 1: Establishing a Global AI Advisory Commission</w:t>
      </w:r>
    </w:p>
    <w:p w:rsidR="00000000" w:rsidDel="00000000" w:rsidP="00000000" w:rsidRDefault="00000000" w:rsidRPr="00000000" w14:paraId="000000C6">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first step would involve the creation of an international AI advisory body under the United Nations, modeled after the Intergovernmental Panel on Climate Change (IPCC) or the International Atomic Energy Agency (IAEA). This commission would serve to coordinate research, provide policy recommendations, and facilitate diplomatic discussions on AI governance.</w:t>
      </w:r>
    </w:p>
    <w:p w:rsidR="00000000" w:rsidDel="00000000" w:rsidP="00000000" w:rsidRDefault="00000000" w:rsidRPr="00000000" w14:paraId="000000C7">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 course, when creating such an advisory body, careful selection of members will be critical to ensuring legitimacy and balanced representation. The United Nations General Assembly (UNGA) and key international scientific bodies (such as the OECD, the International Telecommunications Union, and leading AI research institutes) would nominate experts in AI, ethics, security, and economics to form the commission. Representatives could be drawn from both state actors and non-state actors, including governmental agencies, academic institutions, AI safety organizations, and private sector stakeholders. Rotating membership could be established to ensure representation from developed and developing nations, preventing dominance by a few major AI powers.</w:t>
      </w:r>
    </w:p>
    <w:p w:rsidR="00000000" w:rsidDel="00000000" w:rsidP="00000000" w:rsidRDefault="00000000" w:rsidRPr="00000000" w14:paraId="000000C8">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Commission’s mandate and responsibilities would be as follows. The Commission would be responsible for producing annual reports on AI risks, including economic impacts, safety concerns, and military applications, similar to the IPCC climate reports. It would also be responsible for recommending AI safety standards. This would involve drafting non-binding guidelines on areas such as autonomous weapons, biometric surveillance, and synthetic media, setting the stage for eventual regulation. The Commission might also facilitate international coordination. It could host annual summits where countries can share best practices, establish diplomatic channels, and assess compliance with voluntary guidelines. The Commission could also serve as a centralized monitoring group for watching AI development trends. The monitoring could include creating a database of AI capabilities across different countries and industries to track the trajectory of AI advancements.</w:t>
      </w:r>
    </w:p>
    <w:p w:rsidR="00000000" w:rsidDel="00000000" w:rsidP="00000000" w:rsidRDefault="00000000" w:rsidRPr="00000000" w14:paraId="000000C9">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8zyum08uc9bd" w:id="69"/>
      <w:bookmarkEnd w:id="69"/>
      <w:r w:rsidDel="00000000" w:rsidR="00000000" w:rsidRPr="00000000">
        <w:rPr>
          <w:rFonts w:ascii="Times New Roman" w:cs="Times New Roman" w:eastAsia="Times New Roman" w:hAnsi="Times New Roman"/>
          <w:sz w:val="24"/>
          <w:szCs w:val="24"/>
          <w:rtl w:val="0"/>
        </w:rPr>
        <w:t xml:space="preserve">Phase 2: Non-Binding Agreements and Soft Law Frameworks</w:t>
      </w:r>
    </w:p>
    <w:p w:rsidR="00000000" w:rsidDel="00000000" w:rsidP="00000000" w:rsidRDefault="00000000" w:rsidRPr="00000000" w14:paraId="000000CA">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Once the advisory commission has established baseline risk assessments and safety guidelines, countries and corporations would negotiate a multilateral AI agreement like the Tallinn Manual for cyberwarfare or the Universal Declaration on the Human Genome and Human Rights.</w:t>
      </w:r>
    </w:p>
    <w:p w:rsidR="00000000" w:rsidDel="00000000" w:rsidP="00000000" w:rsidRDefault="00000000" w:rsidRPr="00000000" w14:paraId="000000CB">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 key components of the agreement would include 1) Commitment to Transparency, 2) Ethical Use Pledges, 3) AI Safety Audits, 4) and Export Controls on High-Risk AI. First, governments and corporations would agree to publicly disclose AI development projects exceeding a certain compute threshold (e.g., models surpassing 10^26 FLOPs). Second, AI developers would commit to non-use of AI for mass surveillance, autonomous lethal decision-making, or disinformation warfare. Third, voluntary third-party audits would assess whether AI systems are aligned with human intent and safe for deployment. Fourth, following models from nuclear non-proliferation agreements, countries would pledge not to export AI models with advanced strategic capabilities (e.g., autonomous military systems) to rogue states or non-state actors. While this agreement would be non-binding, it would establish the normative groundwork for more robust enforcement mechanisms in later phases.</w:t>
      </w:r>
    </w:p>
    <w:p w:rsidR="00000000" w:rsidDel="00000000" w:rsidP="00000000" w:rsidRDefault="00000000" w:rsidRPr="00000000" w14:paraId="000000CC">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uk47tsxix3bd" w:id="70"/>
      <w:bookmarkEnd w:id="70"/>
      <w:r w:rsidDel="00000000" w:rsidR="00000000" w:rsidRPr="00000000">
        <w:rPr>
          <w:rFonts w:ascii="Times New Roman" w:cs="Times New Roman" w:eastAsia="Times New Roman" w:hAnsi="Times New Roman"/>
          <w:sz w:val="24"/>
          <w:szCs w:val="24"/>
          <w:rtl w:val="0"/>
        </w:rPr>
        <w:t xml:space="preserve">Phase 3: International AI Oversight Mechanism</w:t>
      </w:r>
    </w:p>
    <w:p w:rsidR="00000000" w:rsidDel="00000000" w:rsidP="00000000" w:rsidRDefault="00000000" w:rsidRPr="00000000" w14:paraId="000000CD">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Building on the precedent of the IAEA for nuclear technologies, an International AI Monitoring Agency (IAMA) could be established to ensure compliance with AI safety measures. This phase marks the transition from voluntary commitments to legally enforceable regulations. Some enforcement mechanisms might include the following. </w:t>
      </w:r>
    </w:p>
    <w:p w:rsidR="00000000" w:rsidDel="00000000" w:rsidP="00000000" w:rsidRDefault="00000000" w:rsidRPr="00000000" w14:paraId="000000CE">
      <w:pPr>
        <w:numPr>
          <w:ilvl w:val="0"/>
          <w:numId w:val="6"/>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 Risk Verification – Countries would be required to register AI models above a specified computational threshold, allowing the IAMA to conduct periodic inspections and risk assessments.</w:t>
      </w:r>
    </w:p>
    <w:p w:rsidR="00000000" w:rsidDel="00000000" w:rsidP="00000000" w:rsidRDefault="00000000" w:rsidRPr="00000000" w14:paraId="000000CF">
      <w:pPr>
        <w:numPr>
          <w:ilvl w:val="0"/>
          <w:numId w:val="6"/>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Sanctions for Non-Compliance – Nations that violate AI safety standards (e.g., by developing rogue AGI models or deploying AI-powered autonomous weapons) could face trade restrictions and financial penalties, similar to Montreal Protocol enforcement mechanisms.</w:t>
      </w:r>
    </w:p>
    <w:p w:rsidR="00000000" w:rsidDel="00000000" w:rsidP="00000000" w:rsidRDefault="00000000" w:rsidRPr="00000000" w14:paraId="000000D0">
      <w:pPr>
        <w:numPr>
          <w:ilvl w:val="0"/>
          <w:numId w:val="6"/>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Whistleblower Protections – AI researchers who expose unethical or dangerous AI development would receive international legal protections, akin to nuclear whistleblower policies.</w:t>
      </w:r>
    </w:p>
    <w:p w:rsidR="00000000" w:rsidDel="00000000" w:rsidP="00000000" w:rsidRDefault="00000000" w:rsidRPr="00000000" w14:paraId="000000D1">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this stage, compliance with AI safety standards would transition from voluntary pledges to legally binding obligations, ensuring stronger global adherence.</w:t>
      </w:r>
    </w:p>
    <w:p w:rsidR="00000000" w:rsidDel="00000000" w:rsidP="00000000" w:rsidRDefault="00000000" w:rsidRPr="00000000" w14:paraId="000000D2">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jd79gsae9dgw" w:id="71"/>
      <w:bookmarkEnd w:id="71"/>
      <w:r w:rsidDel="00000000" w:rsidR="00000000" w:rsidRPr="00000000">
        <w:rPr>
          <w:rFonts w:ascii="Times New Roman" w:cs="Times New Roman" w:eastAsia="Times New Roman" w:hAnsi="Times New Roman"/>
          <w:sz w:val="24"/>
          <w:szCs w:val="24"/>
          <w:rtl w:val="0"/>
        </w:rPr>
        <w:t xml:space="preserve">Phase 4: Binding AI Treaty</w:t>
      </w:r>
    </w:p>
    <w:p w:rsidR="00000000" w:rsidDel="00000000" w:rsidP="00000000" w:rsidRDefault="00000000" w:rsidRPr="00000000" w14:paraId="000000D3">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previous phases demonstrate effectiveness, countries could negotiate a legally binding AI non-proliferation treaty similar to the NPT. This would restrict the development and deployment of AI models that pose existential threats while ensuring equitable access to AI benefits for all nations.</w:t>
      </w:r>
    </w:p>
    <w:p w:rsidR="00000000" w:rsidDel="00000000" w:rsidP="00000000" w:rsidRDefault="00000000" w:rsidRPr="00000000" w14:paraId="000000D4">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treaty might include some of the following provisions. </w:t>
      </w:r>
    </w:p>
    <w:p w:rsidR="00000000" w:rsidDel="00000000" w:rsidP="00000000" w:rsidRDefault="00000000" w:rsidRPr="00000000" w14:paraId="000000D5">
      <w:pPr>
        <w:numPr>
          <w:ilvl w:val="0"/>
          <w:numId w:val="3"/>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Compute Caps on AGI Development – Countries would agree to not exceed a specific threshold of compute power for AGI models without international oversight. Unlike AI models, </w:t>
      </w:r>
      <w:r w:rsidDel="00000000" w:rsidR="00000000" w:rsidRPr="00000000">
        <w:rPr>
          <w:rFonts w:ascii="Times New Roman" w:cs="Times New Roman" w:eastAsia="Times New Roman" w:hAnsi="Times New Roman"/>
          <w:sz w:val="24"/>
          <w:szCs w:val="24"/>
          <w:rtl w:val="0"/>
        </w:rPr>
        <w:t xml:space="preserve">compute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 a</w:t>
      </w:r>
      <w:r w:rsidDel="00000000" w:rsidR="00000000" w:rsidRPr="00000000">
        <w:rPr>
          <w:rFonts w:ascii="Times New Roman" w:cs="Times New Roman" w:eastAsia="Times New Roman" w:hAnsi="Times New Roman"/>
          <w:sz w:val="24"/>
          <w:szCs w:val="24"/>
          <w:rtl w:val="0"/>
        </w:rPr>
        <w:t xml:space="preserve"> physical </w:t>
      </w:r>
      <w:r w:rsidDel="00000000" w:rsidR="00000000" w:rsidRPr="00000000">
        <w:rPr>
          <w:rFonts w:ascii="Times New Roman" w:cs="Times New Roman" w:eastAsia="Times New Roman" w:hAnsi="Times New Roman"/>
          <w:sz w:val="24"/>
          <w:szCs w:val="24"/>
          <w:rtl w:val="0"/>
        </w:rPr>
        <w:t xml:space="preserve">asset</w:t>
      </w:r>
      <w:r w:rsidDel="00000000" w:rsidR="00000000" w:rsidRPr="00000000">
        <w:rPr>
          <w:rFonts w:ascii="Times New Roman" w:cs="Times New Roman" w:eastAsia="Times New Roman" w:hAnsi="Times New Roman"/>
          <w:sz w:val="24"/>
          <w:szCs w:val="24"/>
          <w:rtl w:val="0"/>
        </w:rPr>
        <w:t xml:space="preserve"> that can be tracked and restricted. Governments already regulate commodities like uranium, making </w:t>
      </w:r>
      <w:r w:rsidDel="00000000" w:rsidR="00000000" w:rsidRPr="00000000">
        <w:rPr>
          <w:rFonts w:ascii="Times New Roman" w:cs="Times New Roman" w:eastAsia="Times New Roman" w:hAnsi="Times New Roman"/>
          <w:sz w:val="24"/>
          <w:szCs w:val="24"/>
          <w:rtl w:val="0"/>
        </w:rPr>
        <w:t xml:space="preserve">compute</w:t>
      </w:r>
      <w:r w:rsidDel="00000000" w:rsidR="00000000" w:rsidRPr="00000000">
        <w:rPr>
          <w:rFonts w:ascii="Times New Roman" w:cs="Times New Roman" w:eastAsia="Times New Roman" w:hAnsi="Times New Roman"/>
          <w:sz w:val="24"/>
          <w:szCs w:val="24"/>
          <w:rtl w:val="0"/>
        </w:rPr>
        <w:t xml:space="preserve"> regulation similarly viable.</w:t>
      </w:r>
      <w:r w:rsidDel="00000000" w:rsidR="00000000" w:rsidRPr="00000000">
        <w:rPr>
          <w:rFonts w:ascii="Times New Roman" w:cs="Times New Roman" w:eastAsia="Times New Roman" w:hAnsi="Times New Roman"/>
          <w:sz w:val="24"/>
          <w:szCs w:val="24"/>
          <w:vertAlign w:val="superscript"/>
        </w:rPr>
        <w:footnoteReference w:customMarkFollows="0" w:id="102"/>
      </w:r>
      <w:r w:rsidDel="00000000" w:rsidR="00000000" w:rsidRPr="00000000">
        <w:rPr>
          <w:rFonts w:ascii="Times New Roman" w:cs="Times New Roman" w:eastAsia="Times New Roman" w:hAnsi="Times New Roman"/>
          <w:sz w:val="24"/>
          <w:szCs w:val="24"/>
          <w:rtl w:val="0"/>
        </w:rPr>
        <w:t xml:space="preserve"> Compute limitations could prevent dangerous actors from developing high-risk AI models, mitigating risks of disinformation, cyber warfare, and autonomous weapon systems.</w:t>
      </w:r>
    </w:p>
    <w:p w:rsidR="00000000" w:rsidDel="00000000" w:rsidP="00000000" w:rsidRDefault="00000000" w:rsidRPr="00000000" w14:paraId="000000D6">
      <w:pPr>
        <w:numPr>
          <w:ilvl w:val="0"/>
          <w:numId w:val="3"/>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International AI Licensing – Companies would need global certification before deploying high-risk AI models, ensuring compliance with safety regulations.</w:t>
      </w:r>
    </w:p>
    <w:p w:rsidR="00000000" w:rsidDel="00000000" w:rsidP="00000000" w:rsidRDefault="00000000" w:rsidRPr="00000000" w14:paraId="000000D7">
      <w:pPr>
        <w:numPr>
          <w:ilvl w:val="0"/>
          <w:numId w:val="3"/>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AI Demilitarization Agreements – Prohibitions on AI-driven autonomous weapons, cyberwarfare AI, and other destabilizing applications.</w:t>
      </w:r>
    </w:p>
    <w:p w:rsidR="00000000" w:rsidDel="00000000" w:rsidP="00000000" w:rsidRDefault="00000000" w:rsidRPr="00000000" w14:paraId="000000D8">
      <w:pPr>
        <w:numPr>
          <w:ilvl w:val="0"/>
          <w:numId w:val="3"/>
        </w:numPr>
        <w:spacing w:after="0" w:before="0"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Global AI Governance Fund – The fund would be used to finance compliance measures, such as AI audits, regulatory oversight, and penalties for violations of international AI agreements. Member states and corporations adhering to AI safety regulations could receive financial incentives, subsidies, or tax benefits from the fund. The fund could be used to proactively address catastrophic AI failures (e.g., maintaining a global AI kill switch, funding safety research, or compensating damages from AI-related harm). Non-compliant entities could face financial penalties, exclusion from AI trade agreements, or restricted access to key AI resources (compute power, data pools, or infrastructure).</w:t>
      </w:r>
    </w:p>
    <w:p w:rsidR="00000000" w:rsidDel="00000000" w:rsidP="00000000" w:rsidRDefault="00000000" w:rsidRPr="00000000" w14:paraId="000000D9">
      <w:pPr>
        <w:pStyle w:val="Heading2"/>
        <w:numPr>
          <w:ilvl w:val="1"/>
          <w:numId w:val="1"/>
        </w:numPr>
        <w:spacing w:after="0" w:before="0" w:line="480" w:lineRule="auto"/>
        <w:ind w:left="1440" w:hanging="360"/>
        <w:rPr>
          <w:rFonts w:ascii="Times New Roman" w:cs="Times New Roman" w:eastAsia="Times New Roman" w:hAnsi="Times New Roman"/>
          <w:sz w:val="24"/>
          <w:szCs w:val="24"/>
        </w:rPr>
      </w:pPr>
      <w:bookmarkStart w:colFirst="0" w:colLast="0" w:name="_hqir4i5mzj9" w:id="72"/>
      <w:bookmarkEnd w:id="72"/>
      <w:r w:rsidDel="00000000" w:rsidR="00000000" w:rsidRPr="00000000">
        <w:rPr>
          <w:rFonts w:ascii="Times New Roman" w:cs="Times New Roman" w:eastAsia="Times New Roman" w:hAnsi="Times New Roman"/>
          <w:sz w:val="24"/>
          <w:szCs w:val="24"/>
          <w:rtl w:val="0"/>
        </w:rPr>
        <w:t xml:space="preserve">Addressing National Incentives and Obstacles</w:t>
      </w:r>
    </w:p>
    <w:p w:rsidR="00000000" w:rsidDel="00000000" w:rsidP="00000000" w:rsidRDefault="00000000" w:rsidRPr="00000000" w14:paraId="000000DA">
      <w:pPr>
        <w:spacing w:after="0" w:before="0"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One of the biggest challenges for international AI regulation is convincing nations to participate when AI offers significant economic and military advantages. Without strong incentives and enforcement mechanisms, countries may prioritize short-term strategic gains over long-term safety. However, lessons from successful international agreements, such as the Montreal Protocol and the Nuclear Non-Proliferation Treaty (NPT), suggest that a combination of enforcement and incentives can encourage participation and compliance.</w:t>
      </w:r>
    </w:p>
    <w:p w:rsidR="00000000" w:rsidDel="00000000" w:rsidP="00000000" w:rsidRDefault="00000000" w:rsidRPr="00000000" w14:paraId="000000DB">
      <w:pPr>
        <w:spacing w:after="0" w:before="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Economic incentives will be a key component in ensuring cooperation. Countries that adhere to AI safety standards should receive tangible benefits, such as access to shared AI research, funding for ethical AI development, and tariff reductions on compliant AI industries. These incentives not only encourage adherence but also help counteract the powerful profit motive that could drive nations and corporations to continue developing unsafe AI until an existential crisis occurs. In addition to incentives, strong enforcement mechanisms are necessary. The International AI Monitoring Authority (IAMA) should have the authority to track AI development, recommend sanctions on nations or companies that violate safety protocols, and impose penalties on non-compliant actors. Geopolitical leadership will also be critical in ensuring the effectiveness of these measures. Just as the U.S. played a leading role in enforcing the NPT, AI regulation will require active participation from dominant AI nations such as the United States, the European Union, and China. Notably, China’s ambassador to the United States has recently called for closer cooperation between the two countries on AI governance, signaling a potential avenue for international collaboration.</w:t>
      </w:r>
      <w:r w:rsidDel="00000000" w:rsidR="00000000" w:rsidRPr="00000000">
        <w:rPr>
          <w:rFonts w:ascii="Times New Roman" w:cs="Times New Roman" w:eastAsia="Times New Roman" w:hAnsi="Times New Roman"/>
          <w:sz w:val="24"/>
          <w:szCs w:val="24"/>
          <w:vertAlign w:val="superscript"/>
        </w:rPr>
        <w:footnoteReference w:customMarkFollows="0" w:id="103"/>
      </w:r>
      <w:r w:rsidDel="00000000" w:rsidR="00000000" w:rsidRPr="00000000">
        <w:rPr>
          <w:rFonts w:ascii="Times New Roman" w:cs="Times New Roman" w:eastAsia="Times New Roman" w:hAnsi="Times New Roman"/>
          <w:sz w:val="24"/>
          <w:szCs w:val="24"/>
          <w:rtl w:val="0"/>
        </w:rPr>
        <w:t xml:space="preserve">  By integrating economic incentives, enforcement mechanisms, and leadership from key players, a global AI regulatory framework can be both effective and enforceable.</w:t>
      </w:r>
    </w:p>
    <w:p w:rsidR="00000000" w:rsidDel="00000000" w:rsidP="00000000" w:rsidRDefault="00000000" w:rsidRPr="00000000" w14:paraId="000000DC">
      <w:pPr>
        <w:pStyle w:val="Heading1"/>
        <w:numPr>
          <w:ilvl w:val="0"/>
          <w:numId w:val="1"/>
        </w:numPr>
        <w:spacing w:after="0" w:before="0" w:line="480" w:lineRule="auto"/>
        <w:ind w:left="720" w:hanging="360"/>
        <w:rPr>
          <w:rFonts w:ascii="Times New Roman" w:cs="Times New Roman" w:eastAsia="Times New Roman" w:hAnsi="Times New Roman"/>
          <w:b w:val="1"/>
          <w:bCs w:val="1"/>
          <w:sz w:val="24"/>
          <w:szCs w:val="24"/>
        </w:rPr>
      </w:pPr>
      <w:bookmarkStart w:colFirst="0" w:colLast="0" w:name="_s2uz0eikg4qe" w:id="73"/>
      <w:bookmarkEnd w:id="73"/>
      <w:r w:rsidDel="00000000" w:rsidR="00000000" w:rsidRPr="00000000">
        <w:rPr>
          <w:rFonts w:ascii="Times New Roman" w:cs="Times New Roman" w:eastAsia="Times New Roman" w:hAnsi="Times New Roman"/>
          <w:b w:val="1"/>
          <w:bCs w:val="1"/>
          <w:sz w:val="24"/>
          <w:szCs w:val="24"/>
          <w:rtl w:val="0"/>
        </w:rPr>
        <w:t xml:space="preserve">Conclusion</w:t>
      </w:r>
      <w:r w:rsidDel="00000000" w:rsidR="00000000" w:rsidRPr="00000000">
        <w:rPr>
          <w:rtl w:val="0"/>
        </w:rPr>
      </w:r>
    </w:p>
    <w:p w:rsidR="00000000" w:rsidDel="00000000" w:rsidP="00000000" w:rsidRDefault="00000000" w:rsidRPr="00000000" w14:paraId="000000DD">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rapid advancement of AI presents both unprecedented opportunities and profound risks, requiring a global regulatory approach that balances innovation with safety. This paper has demonstrated that historical regulatory frameworks offer valuable insights for structuring AI governance. The Montreal Protocol’s success in addressing environmental threats through binding commitments and trade restrictions suggests that AI regulation must include strong enforcement mechanisms rather than rely on voluntary compliance, as seen in the Paris Climate Accords. Similarly, the Tallinn Manual’s evolving norms on cyber warfare and the Artemis Accords’ cooperative space exploration framework highlight the importance of incremental norm-setting and coalition-building before legally binding treaties are possible. Additionally, the Universal Declaration on the Human Genome and Human Rights illustrates how ethical considerations can shape technological governance.</w:t>
      </w:r>
    </w:p>
    <w:p w:rsidR="00000000" w:rsidDel="00000000" w:rsidP="00000000" w:rsidRDefault="00000000" w:rsidRPr="00000000" w14:paraId="000000DE">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staged approach to AI regulation—beginning with advisory bodies and voluntary guidelines before transitioning to legally enforceable agreements—offers the most realistic path forward. AI governance should balance national security, economic incentives, and ethical concerns to ensure alignment with global safety priorities.</w:t>
      </w:r>
    </w:p>
    <w:p w:rsidR="00000000" w:rsidDel="00000000" w:rsidP="00000000" w:rsidRDefault="00000000" w:rsidRPr="00000000" w14:paraId="000000DF">
      <w:pPr>
        <w:spacing w:after="0" w:before="0"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Ultimately, international AI regulation must be proactive rather than reactive, learning from past governance successes while accounting for the unique challenges AI presents. While geopolitical tensions and economic incentives may complicate cooperation, the alternative—unregulated AI capable of catastrophic consequences—poses a far greater risk. By structuring AI governance as a flexible but enforceable international framework, we can shape AI’s trajectory to align with human safety, ethical considerations, and long-term global stability.</w:t>
      </w:r>
    </w:p>
    <w:p w:rsidR="00000000" w:rsidDel="00000000" w:rsidP="00000000" w:rsidRDefault="00000000" w:rsidRPr="00000000" w14:paraId="000000E0">
      <w:pPr>
        <w:spacing w:after="0" w:before="0" w:line="480" w:lineRule="auto"/>
        <w:rPr>
          <w:rFonts w:ascii="Times New Roman" w:cs="Times New Roman" w:eastAsia="Times New Roman" w:hAnsi="Times New Roman"/>
          <w:sz w:val="24"/>
          <w:szCs w:val="24"/>
        </w:rPr>
      </w:pPr>
      <w:r w:rsidDel="00000000" w:rsidR="00000000" w:rsidRPr="00000000">
        <w:rPr>
          <w:rtl w:val="0"/>
        </w:rPr>
      </w:r>
    </w:p>
    <w:sectPr>
      <w:headerReference r:id="rId7" w:type="default"/>
      <w:headerReference r:id="rId8" w:type="first"/>
      <w:footerReference r:id="rId9" w:type="default"/>
      <w:footerReference r:id="rId10"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1">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C">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E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Russell, Stuart J.; Norvig, Peter. (2021). Artificial Intelligence: A Modern Approach (4th ed.). Hoboken: Pearson. ISBN 978-0134610993. LCCN 20190474. </w:t>
      </w:r>
    </w:p>
  </w:footnote>
  <w:footnote w:id="1">
    <w:p w:rsidR="00000000" w:rsidDel="00000000" w:rsidP="00000000" w:rsidRDefault="00000000" w:rsidRPr="00000000" w14:paraId="000000E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University of Illinois Chicago. 2024. “What Is (AI) Artificial Intelligence?” University of Illinois Chicago. May 7, 2024. </w:t>
      </w:r>
      <w:hyperlink r:id="rId1">
        <w:r w:rsidDel="00000000" w:rsidR="00000000" w:rsidRPr="00000000">
          <w:rPr>
            <w:rFonts w:ascii="Times New Roman" w:cs="Times New Roman" w:eastAsia="Times New Roman" w:hAnsi="Times New Roman"/>
            <w:color w:val="1155cc"/>
            <w:sz w:val="20"/>
            <w:szCs w:val="20"/>
            <w:u w:val="single"/>
            <w:rtl w:val="0"/>
          </w:rPr>
          <w:t xml:space="preserve">https://meng.uic.edu/news-stories/ai-artificial-intelligence-what-is-the-definition-of-ai-and-how-does-ai-work/</w:t>
        </w:r>
      </w:hyperlink>
      <w:r w:rsidDel="00000000" w:rsidR="00000000" w:rsidRPr="00000000">
        <w:rPr>
          <w:rFonts w:ascii="Times New Roman" w:cs="Times New Roman" w:eastAsia="Times New Roman" w:hAnsi="Times New Roman"/>
          <w:sz w:val="20"/>
          <w:szCs w:val="20"/>
          <w:rtl w:val="0"/>
        </w:rPr>
        <w:t xml:space="preserve">. </w:t>
      </w:r>
    </w:p>
  </w:footnote>
  <w:footnote w:id="2">
    <w:p w:rsidR="00000000" w:rsidDel="00000000" w:rsidP="00000000" w:rsidRDefault="00000000" w:rsidRPr="00000000" w14:paraId="000000E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Goertzel, Ben, Cassio Pennachin, and Springerlink (Online Service. 2007. Artificial General Intelligence. Berlin, Heidelberg: Springer Berlin Heidelberg.</w:t>
      </w:r>
    </w:p>
  </w:footnote>
  <w:footnote w:id="3">
    <w:p w:rsidR="00000000" w:rsidDel="00000000" w:rsidP="00000000" w:rsidRDefault="00000000" w:rsidRPr="00000000" w14:paraId="000000E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“How to Define Artificial General Intelligence.” n.d. The Economist. </w:t>
      </w:r>
      <w:hyperlink r:id="rId2">
        <w:r w:rsidDel="00000000" w:rsidR="00000000" w:rsidRPr="00000000">
          <w:rPr>
            <w:rFonts w:ascii="Times New Roman" w:cs="Times New Roman" w:eastAsia="Times New Roman" w:hAnsi="Times New Roman"/>
            <w:color w:val="1155cc"/>
            <w:sz w:val="20"/>
            <w:szCs w:val="20"/>
            <w:u w:val="single"/>
            <w:rtl w:val="0"/>
          </w:rPr>
          <w:t xml:space="preserve">https://www.economist.com/the-economist-explains/2024/03/28/how-to-define-artificial-general-intelligence</w:t>
        </w:r>
      </w:hyperlink>
      <w:r w:rsidDel="00000000" w:rsidR="00000000" w:rsidRPr="00000000">
        <w:rPr>
          <w:rFonts w:ascii="Times New Roman" w:cs="Times New Roman" w:eastAsia="Times New Roman" w:hAnsi="Times New Roman"/>
          <w:sz w:val="20"/>
          <w:szCs w:val="20"/>
          <w:rtl w:val="0"/>
        </w:rPr>
        <w:t xml:space="preserve">. </w:t>
      </w:r>
    </w:p>
  </w:footnote>
  <w:footnote w:id="4">
    <w:p w:rsidR="00000000" w:rsidDel="00000000" w:rsidP="00000000" w:rsidRDefault="00000000" w:rsidRPr="00000000" w14:paraId="000000E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“How to Define Artificial General Intelligence.” n.d. The Economist. </w:t>
      </w:r>
      <w:hyperlink r:id="rId3">
        <w:r w:rsidDel="00000000" w:rsidR="00000000" w:rsidRPr="00000000">
          <w:rPr>
            <w:rFonts w:ascii="Times New Roman" w:cs="Times New Roman" w:eastAsia="Times New Roman" w:hAnsi="Times New Roman"/>
            <w:color w:val="1155cc"/>
            <w:sz w:val="20"/>
            <w:szCs w:val="20"/>
            <w:u w:val="single"/>
            <w:rtl w:val="0"/>
          </w:rPr>
          <w:t xml:space="preserve">https://www.economist.com/the-economist-explains/2024/03/28/how-to-define-artificial-general-intelligence</w:t>
        </w:r>
      </w:hyperlink>
      <w:r w:rsidDel="00000000" w:rsidR="00000000" w:rsidRPr="00000000">
        <w:rPr>
          <w:rFonts w:ascii="Times New Roman" w:cs="Times New Roman" w:eastAsia="Times New Roman" w:hAnsi="Times New Roman"/>
          <w:sz w:val="20"/>
          <w:szCs w:val="20"/>
          <w:rtl w:val="0"/>
        </w:rPr>
        <w:t xml:space="preserve">. </w:t>
      </w:r>
    </w:p>
  </w:footnote>
  <w:footnote w:id="5">
    <w:p w:rsidR="00000000" w:rsidDel="00000000" w:rsidP="00000000" w:rsidRDefault="00000000" w:rsidRPr="00000000" w14:paraId="000000E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Heaven, Will Douglas. 2023. “Google DeepMind Wants to Define What Counts as Artificial General Intelligence.” MIT Technology Review. November 16, 2023. </w:t>
      </w:r>
      <w:hyperlink r:id="rId4">
        <w:r w:rsidDel="00000000" w:rsidR="00000000" w:rsidRPr="00000000">
          <w:rPr>
            <w:rFonts w:ascii="Times New Roman" w:cs="Times New Roman" w:eastAsia="Times New Roman" w:hAnsi="Times New Roman"/>
            <w:color w:val="1155cc"/>
            <w:sz w:val="20"/>
            <w:szCs w:val="20"/>
            <w:u w:val="single"/>
            <w:rtl w:val="0"/>
          </w:rPr>
          <w:t xml:space="preserve">https://www.technologyreview.com/2023/11/16/1083498/google-deepmind-what-is-artificial-general-intelligence-agi/</w:t>
        </w:r>
      </w:hyperlink>
      <w:r w:rsidDel="00000000" w:rsidR="00000000" w:rsidRPr="00000000">
        <w:rPr>
          <w:rFonts w:ascii="Times New Roman" w:cs="Times New Roman" w:eastAsia="Times New Roman" w:hAnsi="Times New Roman"/>
          <w:sz w:val="20"/>
          <w:szCs w:val="20"/>
          <w:rtl w:val="0"/>
        </w:rPr>
        <w:t xml:space="preserve">. </w:t>
      </w:r>
    </w:p>
  </w:footnote>
  <w:footnote w:id="6">
    <w:p w:rsidR="00000000" w:rsidDel="00000000" w:rsidP="00000000" w:rsidRDefault="00000000" w:rsidRPr="00000000" w14:paraId="000000E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IBM. 2023. “What Are Large Language Models? | IBM.” Www.ibm.com. IBM. 2023. </w:t>
      </w:r>
      <w:hyperlink r:id="rId5">
        <w:r w:rsidDel="00000000" w:rsidR="00000000" w:rsidRPr="00000000">
          <w:rPr>
            <w:rFonts w:ascii="Times New Roman" w:cs="Times New Roman" w:eastAsia="Times New Roman" w:hAnsi="Times New Roman"/>
            <w:color w:val="1155cc"/>
            <w:sz w:val="20"/>
            <w:szCs w:val="20"/>
            <w:u w:val="single"/>
            <w:rtl w:val="0"/>
          </w:rPr>
          <w:t xml:space="preserve">https://www.ibm.com/topics/large-language-models</w:t>
        </w:r>
      </w:hyperlink>
      <w:r w:rsidDel="00000000" w:rsidR="00000000" w:rsidRPr="00000000">
        <w:rPr>
          <w:rFonts w:ascii="Times New Roman" w:cs="Times New Roman" w:eastAsia="Times New Roman" w:hAnsi="Times New Roman"/>
          <w:sz w:val="20"/>
          <w:szCs w:val="20"/>
          <w:rtl w:val="0"/>
        </w:rPr>
        <w:t xml:space="preserve">. </w:t>
      </w:r>
    </w:p>
  </w:footnote>
  <w:footnote w:id="7">
    <w:p w:rsidR="00000000" w:rsidDel="00000000" w:rsidP="00000000" w:rsidRDefault="00000000" w:rsidRPr="00000000" w14:paraId="000000E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Bubeck, Sébastien, Varun Chandrasekaran, Ronen Eldan, Johannes Gehrke, Eric Horvitz, Ece Kamar, Peter Lee, et al. 2023. “Sparks of Artificial General Intelligence: Early Experiments with GPT-4.” ArXiv (Cornell University) 5 (March). </w:t>
      </w:r>
      <w:hyperlink r:id="rId6">
        <w:r w:rsidDel="00000000" w:rsidR="00000000" w:rsidRPr="00000000">
          <w:rPr>
            <w:rFonts w:ascii="Times New Roman" w:cs="Times New Roman" w:eastAsia="Times New Roman" w:hAnsi="Times New Roman"/>
            <w:color w:val="1155cc"/>
            <w:sz w:val="20"/>
            <w:szCs w:val="20"/>
            <w:u w:val="single"/>
            <w:rtl w:val="0"/>
          </w:rPr>
          <w:t xml:space="preserve">https://doi.org/10.48550/arxiv.2303.12712</w:t>
        </w:r>
      </w:hyperlink>
      <w:r w:rsidDel="00000000" w:rsidR="00000000" w:rsidRPr="00000000">
        <w:rPr>
          <w:rFonts w:ascii="Times New Roman" w:cs="Times New Roman" w:eastAsia="Times New Roman" w:hAnsi="Times New Roman"/>
          <w:sz w:val="20"/>
          <w:szCs w:val="20"/>
          <w:rtl w:val="0"/>
        </w:rPr>
        <w:t xml:space="preserve">. </w:t>
      </w:r>
    </w:p>
  </w:footnote>
  <w:footnote w:id="8">
    <w:p w:rsidR="00000000" w:rsidDel="00000000" w:rsidP="00000000" w:rsidRDefault="00000000" w:rsidRPr="00000000" w14:paraId="000000E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Grace, Katja, John Salvatier, Allan Dafoe, Baobao Zhang, and Owain Evans. 2017. “When Will AI Exceed Human Performance? Evidence from AI Experts,” May. </w:t>
      </w:r>
      <w:hyperlink r:id="rId7">
        <w:r w:rsidDel="00000000" w:rsidR="00000000" w:rsidRPr="00000000">
          <w:rPr>
            <w:rFonts w:ascii="Times New Roman" w:cs="Times New Roman" w:eastAsia="Times New Roman" w:hAnsi="Times New Roman"/>
            <w:color w:val="1155cc"/>
            <w:sz w:val="20"/>
            <w:szCs w:val="20"/>
            <w:u w:val="single"/>
            <w:rtl w:val="0"/>
          </w:rPr>
          <w:t xml:space="preserve">https://doi.org/10.48550/arxiv.1705.08807</w:t>
        </w:r>
      </w:hyperlink>
      <w:r w:rsidDel="00000000" w:rsidR="00000000" w:rsidRPr="00000000">
        <w:rPr>
          <w:rFonts w:ascii="Times New Roman" w:cs="Times New Roman" w:eastAsia="Times New Roman" w:hAnsi="Times New Roman"/>
          <w:sz w:val="20"/>
          <w:szCs w:val="20"/>
          <w:rtl w:val="0"/>
        </w:rPr>
        <w:t xml:space="preserve">. </w:t>
      </w:r>
    </w:p>
  </w:footnote>
  <w:footnote w:id="9">
    <w:p w:rsidR="00000000" w:rsidDel="00000000" w:rsidP="00000000" w:rsidRDefault="00000000" w:rsidRPr="00000000" w14:paraId="000000E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“The Compendium.” 2024. Thecompendium.ai. 2024. </w:t>
      </w:r>
      <w:hyperlink r:id="rId8">
        <w:r w:rsidDel="00000000" w:rsidR="00000000" w:rsidRPr="00000000">
          <w:rPr>
            <w:rFonts w:ascii="Times New Roman" w:cs="Times New Roman" w:eastAsia="Times New Roman" w:hAnsi="Times New Roman"/>
            <w:color w:val="1155cc"/>
            <w:sz w:val="20"/>
            <w:szCs w:val="20"/>
            <w:u w:val="single"/>
            <w:rtl w:val="0"/>
          </w:rPr>
          <w:t xml:space="preserve">https://www.thecompendium.ai/the-state-of-ai-today</w:t>
        </w:r>
      </w:hyperlink>
      <w:r w:rsidDel="00000000" w:rsidR="00000000" w:rsidRPr="00000000">
        <w:rPr>
          <w:rFonts w:ascii="Times New Roman" w:cs="Times New Roman" w:eastAsia="Times New Roman" w:hAnsi="Times New Roman"/>
          <w:sz w:val="20"/>
          <w:szCs w:val="20"/>
          <w:rtl w:val="0"/>
        </w:rPr>
        <w:t xml:space="preserve">. </w:t>
      </w:r>
    </w:p>
  </w:footnote>
  <w:footnote w:id="10">
    <w:p w:rsidR="00000000" w:rsidDel="00000000" w:rsidP="00000000" w:rsidRDefault="00000000" w:rsidRPr="00000000" w14:paraId="000000E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Hawking, Stephen, Stuart Russell, Max Tegmark, and Frank Wilczek. 2014. “Stephen Hawking: 'Are We Taking Artificial Intelligence Seriously.” The Independent. May 1, 2014. </w:t>
      </w:r>
      <w:hyperlink r:id="rId9">
        <w:r w:rsidDel="00000000" w:rsidR="00000000" w:rsidRPr="00000000">
          <w:rPr>
            <w:rFonts w:ascii="Times New Roman" w:cs="Times New Roman" w:eastAsia="Times New Roman" w:hAnsi="Times New Roman"/>
            <w:color w:val="1155cc"/>
            <w:sz w:val="20"/>
            <w:szCs w:val="20"/>
            <w:u w:val="single"/>
            <w:rtl w:val="0"/>
          </w:rPr>
          <w:t xml:space="preserve">https://www.independent.co.uk/news/science/stephen-hawking-transcendence-looks-at-the-implications-of-artificial-intelligence-but-are-we-taking-ai-seriously-enough-9313474.html</w:t>
        </w:r>
      </w:hyperlink>
      <w:r w:rsidDel="00000000" w:rsidR="00000000" w:rsidRPr="00000000">
        <w:rPr>
          <w:rFonts w:ascii="Times New Roman" w:cs="Times New Roman" w:eastAsia="Times New Roman" w:hAnsi="Times New Roman"/>
          <w:sz w:val="20"/>
          <w:szCs w:val="20"/>
          <w:rtl w:val="0"/>
        </w:rPr>
        <w:t xml:space="preserve">. </w:t>
      </w:r>
    </w:p>
  </w:footnote>
  <w:footnote w:id="11">
    <w:p w:rsidR="00000000" w:rsidDel="00000000" w:rsidP="00000000" w:rsidRDefault="00000000" w:rsidRPr="00000000" w14:paraId="000000E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Brown, Sara. 2023. “Why Neural Net Pioneer Geoffrey Hinton Is Sounding the Alarm on AI | MIT Sloan.” Mitsloan.mit.edu. June 15, 2023. </w:t>
      </w:r>
      <w:hyperlink r:id="rId10">
        <w:r w:rsidDel="00000000" w:rsidR="00000000" w:rsidRPr="00000000">
          <w:rPr>
            <w:rFonts w:ascii="Times New Roman" w:cs="Times New Roman" w:eastAsia="Times New Roman" w:hAnsi="Times New Roman"/>
            <w:color w:val="1155cc"/>
            <w:sz w:val="20"/>
            <w:szCs w:val="20"/>
            <w:u w:val="single"/>
            <w:rtl w:val="0"/>
          </w:rPr>
          <w:t xml:space="preserve">https://mitsloan.mit.edu/ideas-made-to-matter/why-neural-net-pioneer-geoffrey-hinton-sounding-alarm-ai</w:t>
        </w:r>
      </w:hyperlink>
      <w:r w:rsidDel="00000000" w:rsidR="00000000" w:rsidRPr="00000000">
        <w:rPr>
          <w:rFonts w:ascii="Times New Roman" w:cs="Times New Roman" w:eastAsia="Times New Roman" w:hAnsi="Times New Roman"/>
          <w:sz w:val="20"/>
          <w:szCs w:val="20"/>
          <w:rtl w:val="0"/>
        </w:rPr>
        <w:t xml:space="preserve">. </w:t>
      </w:r>
    </w:p>
  </w:footnote>
  <w:footnote w:id="12">
    <w:p w:rsidR="00000000" w:rsidDel="00000000" w:rsidP="00000000" w:rsidRDefault="00000000" w:rsidRPr="00000000" w14:paraId="000000E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“GPTs Are GPTs: An Early Look at the Labor Market Impact Potential of Large Language Models.” 2023. Openai.com. 2023. </w:t>
      </w:r>
      <w:hyperlink r:id="rId11">
        <w:r w:rsidDel="00000000" w:rsidR="00000000" w:rsidRPr="00000000">
          <w:rPr>
            <w:rFonts w:ascii="Times New Roman" w:cs="Times New Roman" w:eastAsia="Times New Roman" w:hAnsi="Times New Roman"/>
            <w:color w:val="1155cc"/>
            <w:sz w:val="20"/>
            <w:szCs w:val="20"/>
            <w:u w:val="single"/>
            <w:rtl w:val="0"/>
          </w:rPr>
          <w:t xml:space="preserve">https://openai.com/index/gpts-are-gpts/</w:t>
        </w:r>
      </w:hyperlink>
      <w:r w:rsidDel="00000000" w:rsidR="00000000" w:rsidRPr="00000000">
        <w:rPr>
          <w:rFonts w:ascii="Times New Roman" w:cs="Times New Roman" w:eastAsia="Times New Roman" w:hAnsi="Times New Roman"/>
          <w:sz w:val="20"/>
          <w:szCs w:val="20"/>
          <w:rtl w:val="0"/>
        </w:rPr>
        <w:t xml:space="preserve">. </w:t>
      </w:r>
    </w:p>
  </w:footnote>
  <w:footnote w:id="19">
    <w:p w:rsidR="00000000" w:rsidDel="00000000" w:rsidP="00000000" w:rsidRDefault="00000000" w:rsidRPr="00000000" w14:paraId="000000F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Martineau, Kim. 2021. “What Is AI Alignment?” IBM Research Blog. February 9, 2021. </w:t>
      </w:r>
      <w:hyperlink r:id="rId12">
        <w:r w:rsidDel="00000000" w:rsidR="00000000" w:rsidRPr="00000000">
          <w:rPr>
            <w:rFonts w:ascii="Times New Roman" w:cs="Times New Roman" w:eastAsia="Times New Roman" w:hAnsi="Times New Roman"/>
            <w:color w:val="1155cc"/>
            <w:sz w:val="20"/>
            <w:szCs w:val="20"/>
            <w:u w:val="single"/>
            <w:rtl w:val="0"/>
          </w:rPr>
          <w:t xml:space="preserve">https://research.ibm.com/blog/what-is-alignment-ai</w:t>
        </w:r>
      </w:hyperlink>
      <w:r w:rsidDel="00000000" w:rsidR="00000000" w:rsidRPr="00000000">
        <w:rPr>
          <w:rFonts w:ascii="Times New Roman" w:cs="Times New Roman" w:eastAsia="Times New Roman" w:hAnsi="Times New Roman"/>
          <w:sz w:val="20"/>
          <w:szCs w:val="20"/>
          <w:rtl w:val="0"/>
        </w:rPr>
        <w:t xml:space="preserve">. </w:t>
      </w:r>
    </w:p>
  </w:footnote>
  <w:footnote w:id="13">
    <w:p w:rsidR="00000000" w:rsidDel="00000000" w:rsidP="00000000" w:rsidRDefault="00000000" w:rsidRPr="00000000" w14:paraId="000000F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Köbis, Nils C., Barbora Doležalová, and Ivan Soraperra. 2021. “Fooled Twice - People Cannot Detect Deepfakes but Think They Can.” IScience 24 (11): 103364. </w:t>
      </w:r>
      <w:hyperlink r:id="rId13">
        <w:r w:rsidDel="00000000" w:rsidR="00000000" w:rsidRPr="00000000">
          <w:rPr>
            <w:rFonts w:ascii="Times New Roman" w:cs="Times New Roman" w:eastAsia="Times New Roman" w:hAnsi="Times New Roman"/>
            <w:color w:val="1155cc"/>
            <w:sz w:val="20"/>
            <w:szCs w:val="20"/>
            <w:u w:val="single"/>
            <w:rtl w:val="0"/>
          </w:rPr>
          <w:t xml:space="preserve">https://doi.org/10.1016/j.isci.2021.103364</w:t>
        </w:r>
      </w:hyperlink>
      <w:r w:rsidDel="00000000" w:rsidR="00000000" w:rsidRPr="00000000">
        <w:rPr>
          <w:rFonts w:ascii="Times New Roman" w:cs="Times New Roman" w:eastAsia="Times New Roman" w:hAnsi="Times New Roman"/>
          <w:sz w:val="20"/>
          <w:szCs w:val="20"/>
          <w:rtl w:val="0"/>
        </w:rPr>
        <w:t xml:space="preserve">;   Bray, Sergi D, Shane D Johnson, and Bennett Kleinberg. 2023. “Testing Human Ability to Detect ‘Deepfake’ Images of Human Faces.” Journal of Cybersecurity 9 (1). </w:t>
      </w:r>
      <w:hyperlink r:id="rId14">
        <w:r w:rsidDel="00000000" w:rsidR="00000000" w:rsidRPr="00000000">
          <w:rPr>
            <w:rFonts w:ascii="Times New Roman" w:cs="Times New Roman" w:eastAsia="Times New Roman" w:hAnsi="Times New Roman"/>
            <w:color w:val="1155cc"/>
            <w:sz w:val="20"/>
            <w:szCs w:val="20"/>
            <w:u w:val="single"/>
            <w:rtl w:val="0"/>
          </w:rPr>
          <w:t xml:space="preserve">https://doi.org/10.1093/cybsec/tyad011</w:t>
        </w:r>
      </w:hyperlink>
      <w:r w:rsidDel="00000000" w:rsidR="00000000" w:rsidRPr="00000000">
        <w:rPr>
          <w:rFonts w:ascii="Times New Roman" w:cs="Times New Roman" w:eastAsia="Times New Roman" w:hAnsi="Times New Roman"/>
          <w:sz w:val="20"/>
          <w:szCs w:val="20"/>
          <w:rtl w:val="0"/>
        </w:rPr>
        <w:t xml:space="preserve">.  </w:t>
      </w:r>
      <w:r w:rsidDel="00000000" w:rsidR="00000000" w:rsidRPr="00000000">
        <w:rPr>
          <w:rtl w:val="0"/>
        </w:rPr>
      </w:r>
    </w:p>
  </w:footnote>
  <w:footnote w:id="14">
    <w:p w:rsidR="00000000" w:rsidDel="00000000" w:rsidP="00000000" w:rsidRDefault="00000000" w:rsidRPr="00000000" w14:paraId="000000F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Mace, Nancy. 2023. “Mace: Deepfake Technology Can Be Weaponized to Cause Harm.” United States House Committee on Oversight and Accountability. November 20, 2023. </w:t>
      </w:r>
      <w:hyperlink r:id="rId15">
        <w:r w:rsidDel="00000000" w:rsidR="00000000" w:rsidRPr="00000000">
          <w:rPr>
            <w:rFonts w:ascii="Times New Roman" w:cs="Times New Roman" w:eastAsia="Times New Roman" w:hAnsi="Times New Roman"/>
            <w:color w:val="1155cc"/>
            <w:sz w:val="20"/>
            <w:szCs w:val="20"/>
            <w:u w:val="single"/>
            <w:rtl w:val="0"/>
          </w:rPr>
          <w:t xml:space="preserve">https://oversight.house.gov/release/mace-deepfakes-pose-real-dangers/</w:t>
        </w:r>
      </w:hyperlink>
      <w:r w:rsidDel="00000000" w:rsidR="00000000" w:rsidRPr="00000000">
        <w:rPr>
          <w:rFonts w:ascii="Times New Roman" w:cs="Times New Roman" w:eastAsia="Times New Roman" w:hAnsi="Times New Roman"/>
          <w:sz w:val="20"/>
          <w:szCs w:val="20"/>
          <w:rtl w:val="0"/>
        </w:rPr>
        <w:t xml:space="preserve">. </w:t>
      </w:r>
    </w:p>
  </w:footnote>
  <w:footnote w:id="15">
    <w:p w:rsidR="00000000" w:rsidDel="00000000" w:rsidP="00000000" w:rsidRDefault="00000000" w:rsidRPr="00000000" w14:paraId="000000F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Sturges, Julia. 2024. “Taylor Swift, Deepfakes, and the First Amendment: Changing the Legal Landscape for Victims of Non-Consensual Artificial Pornography.” Www.law.georgetown.edu. 2024. </w:t>
      </w:r>
      <w:hyperlink r:id="rId16">
        <w:r w:rsidDel="00000000" w:rsidR="00000000" w:rsidRPr="00000000">
          <w:rPr>
            <w:rFonts w:ascii="Times New Roman" w:cs="Times New Roman" w:eastAsia="Times New Roman" w:hAnsi="Times New Roman"/>
            <w:color w:val="1155cc"/>
            <w:sz w:val="20"/>
            <w:szCs w:val="20"/>
            <w:u w:val="single"/>
            <w:rtl w:val="0"/>
          </w:rPr>
          <w:t xml:space="preserve">https://www.law.georgetown.edu/gender-journal/online/volume-xxv-online/taylor-swift-deepfakes-and-the-first-amendment-changing-the-legal-landscape-for-victims-of-non-consensual-artificial-pornography/</w:t>
        </w:r>
      </w:hyperlink>
      <w:r w:rsidDel="00000000" w:rsidR="00000000" w:rsidRPr="00000000">
        <w:rPr>
          <w:rFonts w:ascii="Times New Roman" w:cs="Times New Roman" w:eastAsia="Times New Roman" w:hAnsi="Times New Roman"/>
          <w:sz w:val="20"/>
          <w:szCs w:val="20"/>
          <w:rtl w:val="0"/>
        </w:rPr>
        <w:t xml:space="preserve">. </w:t>
      </w:r>
    </w:p>
  </w:footnote>
  <w:footnote w:id="16">
    <w:p w:rsidR="00000000" w:rsidDel="00000000" w:rsidP="00000000" w:rsidRDefault="00000000" w:rsidRPr="00000000" w14:paraId="000000F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Singer, Natasha. 2024. “Teen Girls Confront an Epidemic of Deepfake Nudes in Schools.” The New York Times, April 8, 2024, sec. Technology. </w:t>
      </w:r>
      <w:hyperlink r:id="rId17">
        <w:r w:rsidDel="00000000" w:rsidR="00000000" w:rsidRPr="00000000">
          <w:rPr>
            <w:rFonts w:ascii="Times New Roman" w:cs="Times New Roman" w:eastAsia="Times New Roman" w:hAnsi="Times New Roman"/>
            <w:color w:val="1155cc"/>
            <w:sz w:val="20"/>
            <w:szCs w:val="20"/>
            <w:u w:val="single"/>
            <w:rtl w:val="0"/>
          </w:rPr>
          <w:t xml:space="preserve">https://www.nytimes.com/2024/04/08/technology/deepfake-ai-nudes-westfield-high-school.html</w:t>
        </w:r>
      </w:hyperlink>
      <w:r w:rsidDel="00000000" w:rsidR="00000000" w:rsidRPr="00000000">
        <w:rPr>
          <w:rFonts w:ascii="Times New Roman" w:cs="Times New Roman" w:eastAsia="Times New Roman" w:hAnsi="Times New Roman"/>
          <w:sz w:val="20"/>
          <w:szCs w:val="20"/>
          <w:rtl w:val="0"/>
        </w:rPr>
        <w:t xml:space="preserve">. </w:t>
      </w:r>
    </w:p>
  </w:footnote>
  <w:footnote w:id="17">
    <w:p w:rsidR="00000000" w:rsidDel="00000000" w:rsidP="00000000" w:rsidRDefault="00000000" w:rsidRPr="00000000" w14:paraId="000000F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Robins-Early, Nick. 2024. “CEO of World’s Biggest Ad Firm Targeted by Deepfake Scam.” The Guardian, May 10, 2024, sec. Technology. </w:t>
      </w:r>
      <w:hyperlink r:id="rId18">
        <w:r w:rsidDel="00000000" w:rsidR="00000000" w:rsidRPr="00000000">
          <w:rPr>
            <w:rFonts w:ascii="Times New Roman" w:cs="Times New Roman" w:eastAsia="Times New Roman" w:hAnsi="Times New Roman"/>
            <w:color w:val="1155cc"/>
            <w:sz w:val="20"/>
            <w:szCs w:val="20"/>
            <w:u w:val="single"/>
            <w:rtl w:val="0"/>
          </w:rPr>
          <w:t xml:space="preserve">https://www.theguardian.com/technology/article/2024/may/10/ceo-wpp-deepfake-scam</w:t>
        </w:r>
      </w:hyperlink>
      <w:r w:rsidDel="00000000" w:rsidR="00000000" w:rsidRPr="00000000">
        <w:rPr>
          <w:rFonts w:ascii="Times New Roman" w:cs="Times New Roman" w:eastAsia="Times New Roman" w:hAnsi="Times New Roman"/>
          <w:sz w:val="20"/>
          <w:szCs w:val="20"/>
          <w:rtl w:val="0"/>
        </w:rPr>
        <w:t xml:space="preserve">. </w:t>
      </w:r>
    </w:p>
  </w:footnote>
  <w:footnote w:id="18">
    <w:p w:rsidR="00000000" w:rsidDel="00000000" w:rsidP="00000000" w:rsidRDefault="00000000" w:rsidRPr="00000000" w14:paraId="000000F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Mace, Nancy. 2023. “Mace: Deepfake Technology Can Be Weaponized to Cause Harm.” United States House Committee on Oversight and Accountability. November 20, 2023. </w:t>
      </w:r>
      <w:hyperlink r:id="rId19">
        <w:r w:rsidDel="00000000" w:rsidR="00000000" w:rsidRPr="00000000">
          <w:rPr>
            <w:rFonts w:ascii="Times New Roman" w:cs="Times New Roman" w:eastAsia="Times New Roman" w:hAnsi="Times New Roman"/>
            <w:color w:val="1155cc"/>
            <w:sz w:val="20"/>
            <w:szCs w:val="20"/>
            <w:u w:val="single"/>
            <w:rtl w:val="0"/>
          </w:rPr>
          <w:t xml:space="preserve">https://oversight.house.gov/release/mace-deepfakes-pose-real-dangers/</w:t>
        </w:r>
      </w:hyperlink>
      <w:r w:rsidDel="00000000" w:rsidR="00000000" w:rsidRPr="00000000">
        <w:rPr>
          <w:rFonts w:ascii="Times New Roman" w:cs="Times New Roman" w:eastAsia="Times New Roman" w:hAnsi="Times New Roman"/>
          <w:sz w:val="20"/>
          <w:szCs w:val="20"/>
          <w:rtl w:val="0"/>
        </w:rPr>
        <w:t xml:space="preserve">. </w:t>
      </w:r>
    </w:p>
  </w:footnote>
  <w:footnote w:id="28">
    <w:p w:rsidR="00000000" w:rsidDel="00000000" w:rsidP="00000000" w:rsidRDefault="00000000" w:rsidRPr="00000000" w14:paraId="000000F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Reuters Staff. 2024. “Ukraine, Taiwan Face-Offs Help Drive Drone, AI Revolution: Peter Apps.” Reuters, December 13, 2024. </w:t>
      </w:r>
      <w:hyperlink r:id="rId20">
        <w:r w:rsidDel="00000000" w:rsidR="00000000" w:rsidRPr="00000000">
          <w:rPr>
            <w:rFonts w:ascii="Times New Roman" w:cs="Times New Roman" w:eastAsia="Times New Roman" w:hAnsi="Times New Roman"/>
            <w:color w:val="1155cc"/>
            <w:sz w:val="20"/>
            <w:szCs w:val="20"/>
            <w:u w:val="single"/>
            <w:rtl w:val="0"/>
          </w:rPr>
          <w:t xml:space="preserve">https://www.reuters.com/world/ukraine-taiwan-face-offs-help-drive-drone-ai-revolution-2024-12-13/</w:t>
        </w:r>
      </w:hyperlink>
      <w:r w:rsidDel="00000000" w:rsidR="00000000" w:rsidRPr="00000000">
        <w:rPr>
          <w:rFonts w:ascii="Times New Roman" w:cs="Times New Roman" w:eastAsia="Times New Roman" w:hAnsi="Times New Roman"/>
          <w:sz w:val="20"/>
          <w:szCs w:val="20"/>
          <w:rtl w:val="0"/>
        </w:rPr>
        <w:t xml:space="preserve">. </w:t>
      </w:r>
    </w:p>
  </w:footnote>
  <w:footnote w:id="29">
    <w:p w:rsidR="00000000" w:rsidDel="00000000" w:rsidP="00000000" w:rsidRDefault="00000000" w:rsidRPr="00000000" w14:paraId="000000F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Thornhill, John. 2024. “AI Is the Frenemy of Freedom.” @FinancialTimes. Financial Times. December 12, 2024. </w:t>
      </w:r>
      <w:hyperlink r:id="rId21">
        <w:r w:rsidDel="00000000" w:rsidR="00000000" w:rsidRPr="00000000">
          <w:rPr>
            <w:rFonts w:ascii="Times New Roman" w:cs="Times New Roman" w:eastAsia="Times New Roman" w:hAnsi="Times New Roman"/>
            <w:color w:val="1155cc"/>
            <w:sz w:val="20"/>
            <w:szCs w:val="20"/>
            <w:u w:val="single"/>
            <w:rtl w:val="0"/>
          </w:rPr>
          <w:t xml:space="preserve">https://www.ft.com/content/733f040e-3e44-4cd7-b719-bf6f1f4cc27b</w:t>
        </w:r>
      </w:hyperlink>
      <w:r w:rsidDel="00000000" w:rsidR="00000000" w:rsidRPr="00000000">
        <w:rPr>
          <w:rFonts w:ascii="Times New Roman" w:cs="Times New Roman" w:eastAsia="Times New Roman" w:hAnsi="Times New Roman"/>
          <w:sz w:val="20"/>
          <w:szCs w:val="20"/>
          <w:rtl w:val="0"/>
        </w:rPr>
        <w:t xml:space="preserve">. </w:t>
      </w:r>
    </w:p>
  </w:footnote>
  <w:footnote w:id="37">
    <w:p w:rsidR="00000000" w:rsidDel="00000000" w:rsidP="00000000" w:rsidRDefault="00000000" w:rsidRPr="00000000" w14:paraId="000000F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Jochheim, Ulrich. 2021. “AT a GLANCE.” </w:t>
      </w:r>
      <w:hyperlink r:id="rId22">
        <w:r w:rsidDel="00000000" w:rsidR="00000000" w:rsidRPr="00000000">
          <w:rPr>
            <w:rFonts w:ascii="Times New Roman" w:cs="Times New Roman" w:eastAsia="Times New Roman" w:hAnsi="Times New Roman"/>
            <w:color w:val="1155cc"/>
            <w:sz w:val="20"/>
            <w:szCs w:val="20"/>
            <w:u w:val="single"/>
            <w:rtl w:val="0"/>
          </w:rPr>
          <w:t xml:space="preserve">https://www.europarl.europa.eu/RegData/etudes/ATAG/2021/696206/EPRS_ATA(2021)696206_EN.pdf</w:t>
        </w:r>
      </w:hyperlink>
      <w:r w:rsidDel="00000000" w:rsidR="00000000" w:rsidRPr="00000000">
        <w:rPr>
          <w:rFonts w:ascii="Times New Roman" w:cs="Times New Roman" w:eastAsia="Times New Roman" w:hAnsi="Times New Roman"/>
          <w:sz w:val="20"/>
          <w:szCs w:val="20"/>
          <w:rtl w:val="0"/>
        </w:rPr>
        <w:t xml:space="preserve">. </w:t>
      </w:r>
    </w:p>
  </w:footnote>
  <w:footnote w:id="38">
    <w:p w:rsidR="00000000" w:rsidDel="00000000" w:rsidP="00000000" w:rsidRDefault="00000000" w:rsidRPr="00000000" w14:paraId="000000F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Martina, Michael, and Trevor Hunnicutt. 2024. “US, China Meet in Geneva to Discuss AI Risks.” Reuters, May 14, 2024. </w:t>
      </w:r>
      <w:hyperlink r:id="rId23">
        <w:r w:rsidDel="00000000" w:rsidR="00000000" w:rsidRPr="00000000">
          <w:rPr>
            <w:rFonts w:ascii="Times New Roman" w:cs="Times New Roman" w:eastAsia="Times New Roman" w:hAnsi="Times New Roman"/>
            <w:color w:val="1155cc"/>
            <w:sz w:val="20"/>
            <w:szCs w:val="20"/>
            <w:u w:val="single"/>
            <w:rtl w:val="0"/>
          </w:rPr>
          <w:t xml:space="preserve">https://www.reuters.com/technology/us-china-meet-geneva-discuss-ai-risks-2024-05-13/</w:t>
        </w:r>
      </w:hyperlink>
      <w:r w:rsidDel="00000000" w:rsidR="00000000" w:rsidRPr="00000000">
        <w:rPr>
          <w:rFonts w:ascii="Times New Roman" w:cs="Times New Roman" w:eastAsia="Times New Roman" w:hAnsi="Times New Roman"/>
          <w:sz w:val="20"/>
          <w:szCs w:val="20"/>
          <w:rtl w:val="0"/>
        </w:rPr>
        <w:t xml:space="preserve">. </w:t>
      </w:r>
    </w:p>
  </w:footnote>
  <w:footnote w:id="39">
    <w:p w:rsidR="00000000" w:rsidDel="00000000" w:rsidP="00000000" w:rsidRDefault="00000000" w:rsidRPr="00000000" w14:paraId="000000F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Bendett, Samuel. 2024. “The Role of AI in Russia’s Confrontation with the West.” Www.cnas.org. May 3, 2024. </w:t>
      </w:r>
      <w:hyperlink r:id="rId24">
        <w:r w:rsidDel="00000000" w:rsidR="00000000" w:rsidRPr="00000000">
          <w:rPr>
            <w:rFonts w:ascii="Times New Roman" w:cs="Times New Roman" w:eastAsia="Times New Roman" w:hAnsi="Times New Roman"/>
            <w:color w:val="1155cc"/>
            <w:sz w:val="20"/>
            <w:szCs w:val="20"/>
            <w:u w:val="single"/>
            <w:rtl w:val="0"/>
          </w:rPr>
          <w:t xml:space="preserve">https://www.cnas.org/publications/reports/the-role-of-ai-in-russias-confrontation-with-the-west</w:t>
        </w:r>
      </w:hyperlink>
      <w:r w:rsidDel="00000000" w:rsidR="00000000" w:rsidRPr="00000000">
        <w:rPr>
          <w:rFonts w:ascii="Times New Roman" w:cs="Times New Roman" w:eastAsia="Times New Roman" w:hAnsi="Times New Roman"/>
          <w:sz w:val="20"/>
          <w:szCs w:val="20"/>
          <w:rtl w:val="0"/>
        </w:rPr>
        <w:t xml:space="preserve">. </w:t>
      </w:r>
    </w:p>
  </w:footnote>
  <w:footnote w:id="30">
    <w:p w:rsidR="00000000" w:rsidDel="00000000" w:rsidP="00000000" w:rsidRDefault="00000000" w:rsidRPr="00000000" w14:paraId="000000F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Chowdhury, Hasan. 2024. “OpenAI Is Chasing 1 Billion Users next Year.” Business Insider. December 2, 2024. </w:t>
      </w:r>
      <w:hyperlink r:id="rId25">
        <w:r w:rsidDel="00000000" w:rsidR="00000000" w:rsidRPr="00000000">
          <w:rPr>
            <w:rFonts w:ascii="Times New Roman" w:cs="Times New Roman" w:eastAsia="Times New Roman" w:hAnsi="Times New Roman"/>
            <w:color w:val="1155cc"/>
            <w:sz w:val="20"/>
            <w:szCs w:val="20"/>
            <w:u w:val="single"/>
            <w:rtl w:val="0"/>
          </w:rPr>
          <w:t xml:space="preserve">https://www.businessinsider.com/openai-users-billion-data-centers-chatgpt-2024-12</w:t>
        </w:r>
      </w:hyperlink>
      <w:r w:rsidDel="00000000" w:rsidR="00000000" w:rsidRPr="00000000">
        <w:rPr>
          <w:rFonts w:ascii="Times New Roman" w:cs="Times New Roman" w:eastAsia="Times New Roman" w:hAnsi="Times New Roman"/>
          <w:sz w:val="20"/>
          <w:szCs w:val="20"/>
          <w:rtl w:val="0"/>
        </w:rPr>
        <w:t xml:space="preserve">. </w:t>
      </w:r>
    </w:p>
  </w:footnote>
  <w:footnote w:id="31">
    <w:p w:rsidR="00000000" w:rsidDel="00000000" w:rsidP="00000000" w:rsidRDefault="00000000" w:rsidRPr="00000000" w14:paraId="000000F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Barrabi, Thomas. 2024. “Elon Musk Seeks Injunction to Block OpenAI’s Plans to Become For-Profit ‘Frankenstein’: Filing.” New York Post. December 2, 2024. </w:t>
      </w:r>
      <w:hyperlink r:id="rId26">
        <w:r w:rsidDel="00000000" w:rsidR="00000000" w:rsidRPr="00000000">
          <w:rPr>
            <w:rFonts w:ascii="Times New Roman" w:cs="Times New Roman" w:eastAsia="Times New Roman" w:hAnsi="Times New Roman"/>
            <w:color w:val="1155cc"/>
            <w:sz w:val="20"/>
            <w:szCs w:val="20"/>
            <w:u w:val="single"/>
            <w:rtl w:val="0"/>
          </w:rPr>
          <w:t xml:space="preserve">https://nypost.com/2024/12/02/business/elon-musk-seeks-injunction-to-block-openais-plans-to-become-for-profit-frankenstein-filing/</w:t>
        </w:r>
      </w:hyperlink>
      <w:r w:rsidDel="00000000" w:rsidR="00000000" w:rsidRPr="00000000">
        <w:rPr>
          <w:rFonts w:ascii="Times New Roman" w:cs="Times New Roman" w:eastAsia="Times New Roman" w:hAnsi="Times New Roman"/>
          <w:sz w:val="20"/>
          <w:szCs w:val="20"/>
          <w:rtl w:val="0"/>
        </w:rPr>
        <w:t xml:space="preserve">. </w:t>
      </w:r>
    </w:p>
  </w:footnote>
  <w:footnote w:id="32">
    <w:p w:rsidR="00000000" w:rsidDel="00000000" w:rsidP="00000000" w:rsidRDefault="00000000" w:rsidRPr="00000000" w14:paraId="000000F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Anthropic. 2023. “Introducing Claude.” Www.anthropic.com. March 14, 2023. </w:t>
      </w:r>
      <w:hyperlink r:id="rId27">
        <w:r w:rsidDel="00000000" w:rsidR="00000000" w:rsidRPr="00000000">
          <w:rPr>
            <w:rFonts w:ascii="Times New Roman" w:cs="Times New Roman" w:eastAsia="Times New Roman" w:hAnsi="Times New Roman"/>
            <w:color w:val="1155cc"/>
            <w:sz w:val="20"/>
            <w:szCs w:val="20"/>
            <w:u w:val="single"/>
            <w:rtl w:val="0"/>
          </w:rPr>
          <w:t xml:space="preserve">https://www.anthropic.com/news/introducing-claude</w:t>
        </w:r>
      </w:hyperlink>
      <w:r w:rsidDel="00000000" w:rsidR="00000000" w:rsidRPr="00000000">
        <w:rPr>
          <w:rFonts w:ascii="Times New Roman" w:cs="Times New Roman" w:eastAsia="Times New Roman" w:hAnsi="Times New Roman"/>
          <w:sz w:val="20"/>
          <w:szCs w:val="20"/>
          <w:rtl w:val="0"/>
        </w:rPr>
        <w:t xml:space="preserve">;  Varanasi, Lakshmi. 2024. “Here’s How Anthropic CEO Dario Amodei Defines AGI.” Business Insider. October 12, 2024. </w:t>
      </w:r>
      <w:hyperlink r:id="rId28">
        <w:r w:rsidDel="00000000" w:rsidR="00000000" w:rsidRPr="00000000">
          <w:rPr>
            <w:rFonts w:ascii="Times New Roman" w:cs="Times New Roman" w:eastAsia="Times New Roman" w:hAnsi="Times New Roman"/>
            <w:color w:val="1155cc"/>
            <w:sz w:val="20"/>
            <w:szCs w:val="20"/>
            <w:u w:val="single"/>
            <w:rtl w:val="0"/>
          </w:rPr>
          <w:t xml:space="preserve">https://www.businessinsider.com/how-anthropic-ceo-dario-amodei-defines-artificial-general-intelligence-2024-10</w:t>
        </w:r>
      </w:hyperlink>
      <w:r w:rsidDel="00000000" w:rsidR="00000000" w:rsidRPr="00000000">
        <w:rPr>
          <w:rFonts w:ascii="Times New Roman" w:cs="Times New Roman" w:eastAsia="Times New Roman" w:hAnsi="Times New Roman"/>
          <w:sz w:val="20"/>
          <w:szCs w:val="20"/>
          <w:rtl w:val="0"/>
        </w:rPr>
        <w:t xml:space="preserve">. </w:t>
      </w:r>
    </w:p>
  </w:footnote>
  <w:footnote w:id="33">
    <w:p w:rsidR="00000000" w:rsidDel="00000000" w:rsidP="00000000" w:rsidRDefault="00000000" w:rsidRPr="00000000" w14:paraId="000000F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Heath, Alex. 2024. “Mark Zuckerberg’s New Goal Is Creating Artificial General Intelligence.” The Verge. January 18, 2024. </w:t>
      </w:r>
      <w:hyperlink r:id="rId29">
        <w:r w:rsidDel="00000000" w:rsidR="00000000" w:rsidRPr="00000000">
          <w:rPr>
            <w:rFonts w:ascii="Times New Roman" w:cs="Times New Roman" w:eastAsia="Times New Roman" w:hAnsi="Times New Roman"/>
            <w:color w:val="1155cc"/>
            <w:sz w:val="20"/>
            <w:szCs w:val="20"/>
            <w:u w:val="single"/>
            <w:rtl w:val="0"/>
          </w:rPr>
          <w:t xml:space="preserve">https://www.theverge.com/2024/1/18/24042354/mark-zuckerberg-meta-agi-reorg-interview?utm_source=chatgpt.com</w:t>
        </w:r>
      </w:hyperlink>
      <w:r w:rsidDel="00000000" w:rsidR="00000000" w:rsidRPr="00000000">
        <w:rPr>
          <w:rFonts w:ascii="Times New Roman" w:cs="Times New Roman" w:eastAsia="Times New Roman" w:hAnsi="Times New Roman"/>
          <w:sz w:val="20"/>
          <w:szCs w:val="20"/>
          <w:rtl w:val="0"/>
        </w:rPr>
        <w:t xml:space="preserve">. </w:t>
      </w:r>
    </w:p>
  </w:footnote>
  <w:footnote w:id="34">
    <w:p w:rsidR="00000000" w:rsidDel="00000000" w:rsidP="00000000" w:rsidRDefault="00000000" w:rsidRPr="00000000" w14:paraId="0000010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Murgia, Madhumita. 2024. “Google DeepMind’s Demis Hassabis on His Nobel Prize: ‘It Feels like a Watershed Moment for AI.’” @FinancialTimes. Financial Times. October 21, 2024. </w:t>
      </w:r>
      <w:hyperlink r:id="rId30">
        <w:r w:rsidDel="00000000" w:rsidR="00000000" w:rsidRPr="00000000">
          <w:rPr>
            <w:rFonts w:ascii="Times New Roman" w:cs="Times New Roman" w:eastAsia="Times New Roman" w:hAnsi="Times New Roman"/>
            <w:color w:val="1155cc"/>
            <w:sz w:val="20"/>
            <w:szCs w:val="20"/>
            <w:u w:val="single"/>
            <w:rtl w:val="0"/>
          </w:rPr>
          <w:t xml:space="preserve">https://www.ft.com/content/72d2c2b1-493b-4520-ae10-41c1a7f3b7e4</w:t>
        </w:r>
      </w:hyperlink>
      <w:r w:rsidDel="00000000" w:rsidR="00000000" w:rsidRPr="00000000">
        <w:rPr>
          <w:rFonts w:ascii="Times New Roman" w:cs="Times New Roman" w:eastAsia="Times New Roman" w:hAnsi="Times New Roman"/>
          <w:sz w:val="20"/>
          <w:szCs w:val="20"/>
          <w:rtl w:val="0"/>
        </w:rPr>
        <w:t xml:space="preserve">. </w:t>
      </w:r>
    </w:p>
  </w:footnote>
  <w:footnote w:id="35">
    <w:p w:rsidR="00000000" w:rsidDel="00000000" w:rsidP="00000000" w:rsidRDefault="00000000" w:rsidRPr="00000000" w14:paraId="0000010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Google Deepmind. 2020. “AlphaFold.” Google DeepMind. 2020. </w:t>
      </w:r>
      <w:hyperlink r:id="rId31">
        <w:r w:rsidDel="00000000" w:rsidR="00000000" w:rsidRPr="00000000">
          <w:rPr>
            <w:rFonts w:ascii="Times New Roman" w:cs="Times New Roman" w:eastAsia="Times New Roman" w:hAnsi="Times New Roman"/>
            <w:color w:val="1155cc"/>
            <w:sz w:val="20"/>
            <w:szCs w:val="20"/>
            <w:u w:val="single"/>
            <w:rtl w:val="0"/>
          </w:rPr>
          <w:t xml:space="preserve">https://deepmind.google/technologies/alphafold/</w:t>
        </w:r>
      </w:hyperlink>
      <w:r w:rsidDel="00000000" w:rsidR="00000000" w:rsidRPr="00000000">
        <w:rPr>
          <w:rFonts w:ascii="Times New Roman" w:cs="Times New Roman" w:eastAsia="Times New Roman" w:hAnsi="Times New Roman"/>
          <w:sz w:val="20"/>
          <w:szCs w:val="20"/>
          <w:rtl w:val="0"/>
        </w:rPr>
        <w:t xml:space="preserve">. </w:t>
      </w:r>
    </w:p>
  </w:footnote>
  <w:footnote w:id="36">
    <w:p w:rsidR="00000000" w:rsidDel="00000000" w:rsidP="00000000" w:rsidRDefault="00000000" w:rsidRPr="00000000" w14:paraId="0000010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Murgia, Madhumita. 2024. “Google DeepMind’s Demis Hassabis on His Nobel Prize: ‘It Feels like a Watershed Moment for AI.’” @FinancialTimes. Financial Times. October 21, 2024. </w:t>
      </w:r>
      <w:hyperlink r:id="rId32">
        <w:r w:rsidDel="00000000" w:rsidR="00000000" w:rsidRPr="00000000">
          <w:rPr>
            <w:rFonts w:ascii="Times New Roman" w:cs="Times New Roman" w:eastAsia="Times New Roman" w:hAnsi="Times New Roman"/>
            <w:color w:val="1155cc"/>
            <w:sz w:val="20"/>
            <w:szCs w:val="20"/>
            <w:u w:val="single"/>
            <w:rtl w:val="0"/>
          </w:rPr>
          <w:t xml:space="preserve">https://www.ft.com/content/72d2c2b1-493b-4520-ae10-41c1a7f3b7e4</w:t>
        </w:r>
      </w:hyperlink>
      <w:r w:rsidDel="00000000" w:rsidR="00000000" w:rsidRPr="00000000">
        <w:rPr>
          <w:rFonts w:ascii="Times New Roman" w:cs="Times New Roman" w:eastAsia="Times New Roman" w:hAnsi="Times New Roman"/>
          <w:sz w:val="20"/>
          <w:szCs w:val="20"/>
          <w:rtl w:val="0"/>
        </w:rPr>
        <w:t xml:space="preserve">. </w:t>
      </w:r>
    </w:p>
  </w:footnote>
  <w:footnote w:id="42">
    <w:p w:rsidR="00000000" w:rsidDel="00000000" w:rsidP="00000000" w:rsidRDefault="00000000" w:rsidRPr="00000000" w14:paraId="0000010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“Why Sam Altman’s Removal—and Reinstatement—as OpenAI CEO Actually Matters.” n.d. Fortune. </w:t>
      </w:r>
      <w:hyperlink r:id="rId33">
        <w:r w:rsidDel="00000000" w:rsidR="00000000" w:rsidRPr="00000000">
          <w:rPr>
            <w:rFonts w:ascii="Times New Roman" w:cs="Times New Roman" w:eastAsia="Times New Roman" w:hAnsi="Times New Roman"/>
            <w:color w:val="1155cc"/>
            <w:sz w:val="20"/>
            <w:szCs w:val="20"/>
            <w:u w:val="single"/>
            <w:rtl w:val="0"/>
          </w:rPr>
          <w:t xml:space="preserve">https://fortune.com/2023/11/23/why-sam-altman-removal-reinstatement-openai-ceo-matters/</w:t>
        </w:r>
      </w:hyperlink>
      <w:r w:rsidDel="00000000" w:rsidR="00000000" w:rsidRPr="00000000">
        <w:rPr>
          <w:rFonts w:ascii="Times New Roman" w:cs="Times New Roman" w:eastAsia="Times New Roman" w:hAnsi="Times New Roman"/>
          <w:sz w:val="20"/>
          <w:szCs w:val="20"/>
          <w:rtl w:val="0"/>
        </w:rPr>
        <w:t xml:space="preserve">. </w:t>
      </w:r>
    </w:p>
  </w:footnote>
  <w:footnote w:id="54">
    <w:p w:rsidR="00000000" w:rsidDel="00000000" w:rsidP="00000000" w:rsidRDefault="00000000" w:rsidRPr="00000000" w14:paraId="0000010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European Parliament. 2023. “EU AI Act: First Regulation on Artificial Intelligence.” European Parliament. June 8, 2023. </w:t>
      </w:r>
      <w:hyperlink r:id="rId34">
        <w:r w:rsidDel="00000000" w:rsidR="00000000" w:rsidRPr="00000000">
          <w:rPr>
            <w:rFonts w:ascii="Times New Roman" w:cs="Times New Roman" w:eastAsia="Times New Roman" w:hAnsi="Times New Roman"/>
            <w:color w:val="1155cc"/>
            <w:sz w:val="20"/>
            <w:szCs w:val="20"/>
            <w:u w:val="single"/>
            <w:rtl w:val="0"/>
          </w:rPr>
          <w:t xml:space="preserve">https://www.europarl.europa.eu/topics/en/article/20230601STO93804/eu-ai-act-first-regulation-on-artificial-intelligence</w:t>
        </w:r>
      </w:hyperlink>
      <w:r w:rsidDel="00000000" w:rsidR="00000000" w:rsidRPr="00000000">
        <w:rPr>
          <w:rFonts w:ascii="Times New Roman" w:cs="Times New Roman" w:eastAsia="Times New Roman" w:hAnsi="Times New Roman"/>
          <w:sz w:val="20"/>
          <w:szCs w:val="20"/>
          <w:rtl w:val="0"/>
        </w:rPr>
        <w:t xml:space="preserve">. </w:t>
      </w:r>
    </w:p>
  </w:footnote>
  <w:footnote w:id="55">
    <w:p w:rsidR="00000000" w:rsidDel="00000000" w:rsidP="00000000" w:rsidRDefault="00000000" w:rsidRPr="00000000" w14:paraId="0000010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The White House. 2023. “Executive Order on the Safe, Secure, and Trustworthy Development and Use of Artificial Intelligence.” The White House. The White House. October 30, 2023. </w:t>
      </w:r>
      <w:hyperlink r:id="rId35">
        <w:r w:rsidDel="00000000" w:rsidR="00000000" w:rsidRPr="00000000">
          <w:rPr>
            <w:rFonts w:ascii="Times New Roman" w:cs="Times New Roman" w:eastAsia="Times New Roman" w:hAnsi="Times New Roman"/>
            <w:color w:val="1155cc"/>
            <w:sz w:val="20"/>
            <w:szCs w:val="20"/>
            <w:u w:val="single"/>
            <w:rtl w:val="0"/>
          </w:rPr>
          <w:t xml:space="preserve">https://www.whitehouse.gov/briefing-room/presidential-actions/2023/10/30/executive-order-on-the-safe-secure-and-trustworthy-development-and-use-of-artificial-intelligence/</w:t>
        </w:r>
      </w:hyperlink>
      <w:r w:rsidDel="00000000" w:rsidR="00000000" w:rsidRPr="00000000">
        <w:rPr>
          <w:rFonts w:ascii="Times New Roman" w:cs="Times New Roman" w:eastAsia="Times New Roman" w:hAnsi="Times New Roman"/>
          <w:sz w:val="20"/>
          <w:szCs w:val="20"/>
          <w:rtl w:val="0"/>
        </w:rPr>
        <w:t xml:space="preserve">. </w:t>
      </w:r>
    </w:p>
  </w:footnote>
  <w:footnote w:id="57">
    <w:p w:rsidR="00000000" w:rsidDel="00000000" w:rsidP="00000000" w:rsidRDefault="00000000" w:rsidRPr="00000000" w14:paraId="0000010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Sheehan, Matt. 2023. “China’s AI Regulations and How They Get Made.” Carnegieendowment.org. July 10, 2023. </w:t>
      </w:r>
      <w:hyperlink r:id="rId36">
        <w:r w:rsidDel="00000000" w:rsidR="00000000" w:rsidRPr="00000000">
          <w:rPr>
            <w:rFonts w:ascii="Times New Roman" w:cs="Times New Roman" w:eastAsia="Times New Roman" w:hAnsi="Times New Roman"/>
            <w:color w:val="1155cc"/>
            <w:sz w:val="20"/>
            <w:szCs w:val="20"/>
            <w:u w:val="single"/>
            <w:rtl w:val="0"/>
          </w:rPr>
          <w:t xml:space="preserve">https://carnegieendowment.org/research/2023/07/chinas-ai-regulations-and-how-they-get-made?lang=en</w:t>
        </w:r>
      </w:hyperlink>
      <w:r w:rsidDel="00000000" w:rsidR="00000000" w:rsidRPr="00000000">
        <w:rPr>
          <w:rFonts w:ascii="Times New Roman" w:cs="Times New Roman" w:eastAsia="Times New Roman" w:hAnsi="Times New Roman"/>
          <w:sz w:val="20"/>
          <w:szCs w:val="20"/>
          <w:rtl w:val="0"/>
        </w:rPr>
        <w:t xml:space="preserve">. </w:t>
      </w:r>
    </w:p>
  </w:footnote>
  <w:footnote w:id="59">
    <w:p w:rsidR="00000000" w:rsidDel="00000000" w:rsidP="00000000" w:rsidRDefault="00000000" w:rsidRPr="00000000" w14:paraId="0000010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Ibid.</w:t>
      </w:r>
    </w:p>
  </w:footnote>
  <w:footnote w:id="60">
    <w:p w:rsidR="00000000" w:rsidDel="00000000" w:rsidP="00000000" w:rsidRDefault="00000000" w:rsidRPr="00000000" w14:paraId="0000010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Office of the Historian. 1968. “The Nuclear Non-Proliferation Treaty (NPT), 1968.” State.gov. 1968. </w:t>
      </w:r>
      <w:hyperlink r:id="rId37">
        <w:r w:rsidDel="00000000" w:rsidR="00000000" w:rsidRPr="00000000">
          <w:rPr>
            <w:rFonts w:ascii="Times New Roman" w:cs="Times New Roman" w:eastAsia="Times New Roman" w:hAnsi="Times New Roman"/>
            <w:color w:val="1155cc"/>
            <w:sz w:val="20"/>
            <w:szCs w:val="20"/>
            <w:u w:val="single"/>
            <w:rtl w:val="0"/>
          </w:rPr>
          <w:t xml:space="preserve">https://history.state.gov/milestones/1961-1968/npt</w:t>
        </w:r>
      </w:hyperlink>
      <w:r w:rsidDel="00000000" w:rsidR="00000000" w:rsidRPr="00000000">
        <w:rPr>
          <w:rFonts w:ascii="Times New Roman" w:cs="Times New Roman" w:eastAsia="Times New Roman" w:hAnsi="Times New Roman"/>
          <w:sz w:val="20"/>
          <w:szCs w:val="20"/>
          <w:rtl w:val="0"/>
        </w:rPr>
        <w:t xml:space="preserve">. </w:t>
      </w:r>
    </w:p>
  </w:footnote>
  <w:footnote w:id="61">
    <w:p w:rsidR="00000000" w:rsidDel="00000000" w:rsidP="00000000" w:rsidRDefault="00000000" w:rsidRPr="00000000" w14:paraId="0000010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Ibid.</w:t>
      </w:r>
    </w:p>
  </w:footnote>
  <w:footnote w:id="62">
    <w:p w:rsidR="00000000" w:rsidDel="00000000" w:rsidP="00000000" w:rsidRDefault="00000000" w:rsidRPr="00000000" w14:paraId="0000010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The White House. 2023. “Executive Order on the Safe, Secure, and Trustworthy Development and Use of Artificial Intelligence.” The White House. October 30, 2023. </w:t>
      </w:r>
      <w:hyperlink r:id="rId38">
        <w:r w:rsidDel="00000000" w:rsidR="00000000" w:rsidRPr="00000000">
          <w:rPr>
            <w:rFonts w:ascii="Times New Roman" w:cs="Times New Roman" w:eastAsia="Times New Roman" w:hAnsi="Times New Roman"/>
            <w:color w:val="1155cc"/>
            <w:sz w:val="20"/>
            <w:szCs w:val="20"/>
            <w:u w:val="single"/>
            <w:rtl w:val="0"/>
          </w:rPr>
          <w:t xml:space="preserve">https://www.whitehouse.gov/briefing-room/presidential-actions/2023/10/30/executive-order-on-the-safe-secure-and-trustworthy-development-and-use-of-artificial-intelligence</w:t>
        </w:r>
      </w:hyperlink>
      <w:r w:rsidDel="00000000" w:rsidR="00000000" w:rsidRPr="00000000">
        <w:rPr>
          <w:rFonts w:ascii="Times New Roman" w:cs="Times New Roman" w:eastAsia="Times New Roman" w:hAnsi="Times New Roman"/>
          <w:sz w:val="20"/>
          <w:szCs w:val="20"/>
          <w:rtl w:val="0"/>
        </w:rPr>
        <w:t xml:space="preserve">. </w:t>
      </w:r>
    </w:p>
  </w:footnote>
  <w:footnote w:id="63">
    <w:p w:rsidR="00000000" w:rsidDel="00000000" w:rsidP="00000000" w:rsidRDefault="00000000" w:rsidRPr="00000000" w14:paraId="0000010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“Timeline of the Nuclear Nonproliferation Treaty (NPT) | Arms Control Association.” 2022. Armscontrol.org. 2022. </w:t>
      </w:r>
      <w:hyperlink r:id="rId39">
        <w:r w:rsidDel="00000000" w:rsidR="00000000" w:rsidRPr="00000000">
          <w:rPr>
            <w:rFonts w:ascii="Times New Roman" w:cs="Times New Roman" w:eastAsia="Times New Roman" w:hAnsi="Times New Roman"/>
            <w:color w:val="1155cc"/>
            <w:sz w:val="20"/>
            <w:szCs w:val="20"/>
            <w:u w:val="single"/>
            <w:rtl w:val="0"/>
          </w:rPr>
          <w:t xml:space="preserve">https://www.armscontrol.org/factsheets/timeline-nuclear-nonproliferation-treaty-npt</w:t>
        </w:r>
      </w:hyperlink>
      <w:r w:rsidDel="00000000" w:rsidR="00000000" w:rsidRPr="00000000">
        <w:rPr>
          <w:rFonts w:ascii="Times New Roman" w:cs="Times New Roman" w:eastAsia="Times New Roman" w:hAnsi="Times New Roman"/>
          <w:sz w:val="20"/>
          <w:szCs w:val="20"/>
          <w:rtl w:val="0"/>
        </w:rPr>
        <w:t xml:space="preserve">. </w:t>
      </w:r>
    </w:p>
  </w:footnote>
  <w:footnote w:id="65">
    <w:p w:rsidR="00000000" w:rsidDel="00000000" w:rsidP="00000000" w:rsidRDefault="00000000" w:rsidRPr="00000000" w14:paraId="0000010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“Nuclear Non-Proliferation Treaty - United States Department of State.” 2025. United States Department of State. February 26, 2025. </w:t>
      </w:r>
      <w:hyperlink r:id="rId40">
        <w:r w:rsidDel="00000000" w:rsidR="00000000" w:rsidRPr="00000000">
          <w:rPr>
            <w:rFonts w:ascii="Times New Roman" w:cs="Times New Roman" w:eastAsia="Times New Roman" w:hAnsi="Times New Roman"/>
            <w:color w:val="1155cc"/>
            <w:sz w:val="20"/>
            <w:szCs w:val="20"/>
            <w:u w:val="single"/>
            <w:rtl w:val="0"/>
          </w:rPr>
          <w:t xml:space="preserve">https://www.state.gov/nuclear-nonproliferation-treaty</w:t>
        </w:r>
      </w:hyperlink>
      <w:r w:rsidDel="00000000" w:rsidR="00000000" w:rsidRPr="00000000">
        <w:rPr>
          <w:rFonts w:ascii="Times New Roman" w:cs="Times New Roman" w:eastAsia="Times New Roman" w:hAnsi="Times New Roman"/>
          <w:sz w:val="20"/>
          <w:szCs w:val="20"/>
          <w:rtl w:val="0"/>
        </w:rPr>
        <w:t xml:space="preserve">. </w:t>
      </w:r>
    </w:p>
  </w:footnote>
  <w:footnote w:id="67">
    <w:p w:rsidR="00000000" w:rsidDel="00000000" w:rsidP="00000000" w:rsidRDefault="00000000" w:rsidRPr="00000000" w14:paraId="0000010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Carlson, John, Vladimir Kuchinov, and Thomas Shea. 2020. Review of The IAEA’s Safeguards System as the Non-Proliferation Treaty’s Verification Mechanism. Nuclear Threat Initiative. </w:t>
      </w:r>
      <w:hyperlink r:id="rId41">
        <w:r w:rsidDel="00000000" w:rsidR="00000000" w:rsidRPr="00000000">
          <w:rPr>
            <w:rFonts w:ascii="Times New Roman" w:cs="Times New Roman" w:eastAsia="Times New Roman" w:hAnsi="Times New Roman"/>
            <w:color w:val="1155cc"/>
            <w:sz w:val="20"/>
            <w:szCs w:val="20"/>
            <w:u w:val="single"/>
            <w:rtl w:val="0"/>
          </w:rPr>
          <w:t xml:space="preserve">www.nti.org</w:t>
        </w:r>
      </w:hyperlink>
      <w:r w:rsidDel="00000000" w:rsidR="00000000" w:rsidRPr="00000000">
        <w:rPr>
          <w:rFonts w:ascii="Times New Roman" w:cs="Times New Roman" w:eastAsia="Times New Roman" w:hAnsi="Times New Roman"/>
          <w:sz w:val="20"/>
          <w:szCs w:val="20"/>
          <w:rtl w:val="0"/>
        </w:rPr>
        <w:t xml:space="preserve">. </w:t>
      </w:r>
    </w:p>
  </w:footnote>
  <w:footnote w:id="66">
    <w:p w:rsidR="00000000" w:rsidDel="00000000" w:rsidP="00000000" w:rsidRDefault="00000000" w:rsidRPr="00000000" w14:paraId="0000010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O’Hanlon, Michael, Robert Einhorn, Steven Pifer, and Frank Rose. 2020. “Experts Assess the Nuclear Non-Proliferation Treaty, 50 Years after It Went into Effect.” Brookings. March 3, 2020. </w:t>
      </w:r>
      <w:hyperlink r:id="rId42">
        <w:r w:rsidDel="00000000" w:rsidR="00000000" w:rsidRPr="00000000">
          <w:rPr>
            <w:rFonts w:ascii="Times New Roman" w:cs="Times New Roman" w:eastAsia="Times New Roman" w:hAnsi="Times New Roman"/>
            <w:color w:val="1155cc"/>
            <w:sz w:val="20"/>
            <w:szCs w:val="20"/>
            <w:u w:val="single"/>
            <w:rtl w:val="0"/>
          </w:rPr>
          <w:t xml:space="preserve">https://www.brookings.edu/articles/experts-assess-the-nuclear-non-proliferation-treaty-50-years-after-it-went-into-effect/</w:t>
        </w:r>
      </w:hyperlink>
      <w:r w:rsidDel="00000000" w:rsidR="00000000" w:rsidRPr="00000000">
        <w:rPr>
          <w:rFonts w:ascii="Times New Roman" w:cs="Times New Roman" w:eastAsia="Times New Roman" w:hAnsi="Times New Roman"/>
          <w:sz w:val="20"/>
          <w:szCs w:val="20"/>
          <w:rtl w:val="0"/>
        </w:rPr>
        <w:t xml:space="preserve">. </w:t>
      </w:r>
    </w:p>
  </w:footnote>
  <w:footnote w:id="68">
    <w:p w:rsidR="00000000" w:rsidDel="00000000" w:rsidP="00000000" w:rsidRDefault="00000000" w:rsidRPr="00000000" w14:paraId="0000010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“Universal Declaration on the Human Genome and Human Rights.” 1997. OHCHR. November 11, 1997. </w:t>
      </w:r>
      <w:hyperlink r:id="rId43">
        <w:r w:rsidDel="00000000" w:rsidR="00000000" w:rsidRPr="00000000">
          <w:rPr>
            <w:rFonts w:ascii="Times New Roman" w:cs="Times New Roman" w:eastAsia="Times New Roman" w:hAnsi="Times New Roman"/>
            <w:color w:val="1155cc"/>
            <w:sz w:val="20"/>
            <w:szCs w:val="20"/>
            <w:u w:val="single"/>
            <w:rtl w:val="0"/>
          </w:rPr>
          <w:t xml:space="preserve">https://www.ohchr.org/en/instruments-mechanisms/instruments/universal-declaration-human-genome-and-human-rights</w:t>
        </w:r>
      </w:hyperlink>
      <w:r w:rsidDel="00000000" w:rsidR="00000000" w:rsidRPr="00000000">
        <w:rPr>
          <w:rFonts w:ascii="Times New Roman" w:cs="Times New Roman" w:eastAsia="Times New Roman" w:hAnsi="Times New Roman"/>
          <w:sz w:val="20"/>
          <w:szCs w:val="20"/>
          <w:rtl w:val="0"/>
        </w:rPr>
        <w:t xml:space="preserve">. </w:t>
      </w:r>
    </w:p>
  </w:footnote>
  <w:footnote w:id="69">
    <w:p w:rsidR="00000000" w:rsidDel="00000000" w:rsidP="00000000" w:rsidRDefault="00000000" w:rsidRPr="00000000" w14:paraId="0000011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Ibid.</w:t>
      </w:r>
    </w:p>
  </w:footnote>
  <w:footnote w:id="75">
    <w:p w:rsidR="00000000" w:rsidDel="00000000" w:rsidP="00000000" w:rsidRDefault="00000000" w:rsidRPr="00000000" w14:paraId="0000011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“Universal Declaration on the Human Genome and Human Rights.” 1997. OHCHR. November 11, 1997. </w:t>
      </w:r>
      <w:hyperlink r:id="rId44">
        <w:r w:rsidDel="00000000" w:rsidR="00000000" w:rsidRPr="00000000">
          <w:rPr>
            <w:rFonts w:ascii="Times New Roman" w:cs="Times New Roman" w:eastAsia="Times New Roman" w:hAnsi="Times New Roman"/>
            <w:color w:val="1155cc"/>
            <w:sz w:val="20"/>
            <w:szCs w:val="20"/>
            <w:u w:val="single"/>
            <w:rtl w:val="0"/>
          </w:rPr>
          <w:t xml:space="preserve">https://www.ohchr.org/en/instruments-mechanisms/instruments/universal-declaration-human-genome-and-human-rights</w:t>
        </w:r>
      </w:hyperlink>
      <w:r w:rsidDel="00000000" w:rsidR="00000000" w:rsidRPr="00000000">
        <w:rPr>
          <w:rFonts w:ascii="Times New Roman" w:cs="Times New Roman" w:eastAsia="Times New Roman" w:hAnsi="Times New Roman"/>
          <w:sz w:val="20"/>
          <w:szCs w:val="20"/>
          <w:rtl w:val="0"/>
        </w:rPr>
        <w:t xml:space="preserve">. </w:t>
      </w:r>
    </w:p>
  </w:footnote>
  <w:footnote w:id="73">
    <w:p w:rsidR="00000000" w:rsidDel="00000000" w:rsidP="00000000" w:rsidRDefault="00000000" w:rsidRPr="00000000" w14:paraId="0000011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Harmon, Shawn H E. 2005. “The Significance of UNESCO’s Universal Declaration on the Human Genome and Human Rights.” SCRIPT-Ed, March, 20–46. </w:t>
      </w:r>
      <w:hyperlink r:id="rId45">
        <w:r w:rsidDel="00000000" w:rsidR="00000000" w:rsidRPr="00000000">
          <w:rPr>
            <w:rFonts w:ascii="Times New Roman" w:cs="Times New Roman" w:eastAsia="Times New Roman" w:hAnsi="Times New Roman"/>
            <w:color w:val="1155cc"/>
            <w:sz w:val="20"/>
            <w:szCs w:val="20"/>
            <w:u w:val="single"/>
            <w:rtl w:val="0"/>
          </w:rPr>
          <w:t xml:space="preserve">https://doi.org/10.2966/scrip.020105.20</w:t>
        </w:r>
      </w:hyperlink>
      <w:r w:rsidDel="00000000" w:rsidR="00000000" w:rsidRPr="00000000">
        <w:rPr>
          <w:rFonts w:ascii="Times New Roman" w:cs="Times New Roman" w:eastAsia="Times New Roman" w:hAnsi="Times New Roman"/>
          <w:sz w:val="20"/>
          <w:szCs w:val="20"/>
          <w:rtl w:val="0"/>
        </w:rPr>
        <w:t xml:space="preserve">. </w:t>
      </w:r>
    </w:p>
  </w:footnote>
  <w:footnote w:id="74">
    <w:p w:rsidR="00000000" w:rsidDel="00000000" w:rsidP="00000000" w:rsidRDefault="00000000" w:rsidRPr="00000000" w14:paraId="0000011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Ibid.</w:t>
      </w:r>
    </w:p>
  </w:footnote>
  <w:footnote w:id="70">
    <w:p w:rsidR="00000000" w:rsidDel="00000000" w:rsidP="00000000" w:rsidRDefault="00000000" w:rsidRPr="00000000" w14:paraId="0000011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National Human Genome Research Institute. 2020. “The Human Genome Project.” National Human Genome Research Institute. 2020. </w:t>
      </w:r>
      <w:hyperlink r:id="rId46">
        <w:r w:rsidDel="00000000" w:rsidR="00000000" w:rsidRPr="00000000">
          <w:rPr>
            <w:rFonts w:ascii="Times New Roman" w:cs="Times New Roman" w:eastAsia="Times New Roman" w:hAnsi="Times New Roman"/>
            <w:color w:val="1155cc"/>
            <w:sz w:val="20"/>
            <w:szCs w:val="20"/>
            <w:u w:val="single"/>
            <w:rtl w:val="0"/>
          </w:rPr>
          <w:t xml:space="preserve">https://www.genome.gov/human-genome-project</w:t>
        </w:r>
      </w:hyperlink>
      <w:r w:rsidDel="00000000" w:rsidR="00000000" w:rsidRPr="00000000">
        <w:rPr>
          <w:rFonts w:ascii="Times New Roman" w:cs="Times New Roman" w:eastAsia="Times New Roman" w:hAnsi="Times New Roman"/>
          <w:sz w:val="20"/>
          <w:szCs w:val="20"/>
          <w:rtl w:val="0"/>
        </w:rPr>
        <w:t xml:space="preserve">. </w:t>
      </w:r>
    </w:p>
  </w:footnote>
  <w:footnote w:id="71">
    <w:p w:rsidR="00000000" w:rsidDel="00000000" w:rsidP="00000000" w:rsidRDefault="00000000" w:rsidRPr="00000000" w14:paraId="0000011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“Why Was There a Race to Sequence the Human Genome? .” 2023. Yourgenome.org. 2023. </w:t>
      </w:r>
      <w:hyperlink r:id="rId47">
        <w:r w:rsidDel="00000000" w:rsidR="00000000" w:rsidRPr="00000000">
          <w:rPr>
            <w:rFonts w:ascii="Times New Roman" w:cs="Times New Roman" w:eastAsia="Times New Roman" w:hAnsi="Times New Roman"/>
            <w:color w:val="1155cc"/>
            <w:sz w:val="20"/>
            <w:szCs w:val="20"/>
            <w:u w:val="single"/>
            <w:rtl w:val="0"/>
          </w:rPr>
          <w:t xml:space="preserve">https://www.yourgenome.org/theme/why-was-there-a-race-to-sequence-the-human-genome</w:t>
        </w:r>
      </w:hyperlink>
      <w:r w:rsidDel="00000000" w:rsidR="00000000" w:rsidRPr="00000000">
        <w:rPr>
          <w:rFonts w:ascii="Times New Roman" w:cs="Times New Roman" w:eastAsia="Times New Roman" w:hAnsi="Times New Roman"/>
          <w:sz w:val="20"/>
          <w:szCs w:val="20"/>
          <w:rtl w:val="0"/>
        </w:rPr>
        <w:t xml:space="preserve">. </w:t>
      </w:r>
    </w:p>
  </w:footnote>
  <w:footnote w:id="72">
    <w:p w:rsidR="00000000" w:rsidDel="00000000" w:rsidP="00000000" w:rsidRDefault="00000000" w:rsidRPr="00000000" w14:paraId="0000011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“Private Sector and HGP.” 2025. Ornl.gov. 2025. </w:t>
      </w:r>
      <w:hyperlink r:id="rId48">
        <w:r w:rsidDel="00000000" w:rsidR="00000000" w:rsidRPr="00000000">
          <w:rPr>
            <w:rFonts w:ascii="Times New Roman" w:cs="Times New Roman" w:eastAsia="Times New Roman" w:hAnsi="Times New Roman"/>
            <w:color w:val="1155cc"/>
            <w:sz w:val="20"/>
            <w:szCs w:val="20"/>
            <w:u w:val="single"/>
            <w:rtl w:val="0"/>
          </w:rPr>
          <w:t xml:space="preserve">https://doe-humangenomeproject.ornl.gov/the-human-genome-project-the-private-sector</w:t>
        </w:r>
      </w:hyperlink>
      <w:r w:rsidDel="00000000" w:rsidR="00000000" w:rsidRPr="00000000">
        <w:rPr>
          <w:rFonts w:ascii="Times New Roman" w:cs="Times New Roman" w:eastAsia="Times New Roman" w:hAnsi="Times New Roman"/>
          <w:sz w:val="20"/>
          <w:szCs w:val="20"/>
          <w:rtl w:val="0"/>
        </w:rPr>
        <w:t xml:space="preserve">. </w:t>
      </w:r>
    </w:p>
  </w:footnote>
  <w:footnote w:id="76">
    <w:p w:rsidR="00000000" w:rsidDel="00000000" w:rsidP="00000000" w:rsidRDefault="00000000" w:rsidRPr="00000000" w14:paraId="0000011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r w:rsidDel="00000000" w:rsidR="00000000" w:rsidRPr="00000000">
        <w:rPr>
          <w:rtl w:val="0"/>
        </w:rPr>
      </w:r>
    </w:p>
  </w:footnote>
  <w:footnote w:id="77">
    <w:p w:rsidR="00000000" w:rsidDel="00000000" w:rsidP="00000000" w:rsidRDefault="00000000" w:rsidRPr="00000000" w14:paraId="0000011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Harmon, Shawn H E. 2005. “The Significance of UNESCO’s Universal Declaration on the Human Genome and Human Rights.” SCRIPT-Ed, March, 20–46. </w:t>
      </w:r>
      <w:hyperlink r:id="rId49">
        <w:r w:rsidDel="00000000" w:rsidR="00000000" w:rsidRPr="00000000">
          <w:rPr>
            <w:rFonts w:ascii="Times New Roman" w:cs="Times New Roman" w:eastAsia="Times New Roman" w:hAnsi="Times New Roman"/>
            <w:color w:val="1155cc"/>
            <w:sz w:val="20"/>
            <w:szCs w:val="20"/>
            <w:u w:val="single"/>
            <w:rtl w:val="0"/>
          </w:rPr>
          <w:t xml:space="preserve">https://doi.org/10.2966/scrip.020105.20</w:t>
        </w:r>
      </w:hyperlink>
      <w:r w:rsidDel="00000000" w:rsidR="00000000" w:rsidRPr="00000000">
        <w:rPr>
          <w:rFonts w:ascii="Times New Roman" w:cs="Times New Roman" w:eastAsia="Times New Roman" w:hAnsi="Times New Roman"/>
          <w:sz w:val="20"/>
          <w:szCs w:val="20"/>
          <w:rtl w:val="0"/>
        </w:rPr>
        <w:t xml:space="preserve">. </w:t>
      </w:r>
      <w:r w:rsidDel="00000000" w:rsidR="00000000" w:rsidRPr="00000000">
        <w:rPr>
          <w:rtl w:val="0"/>
        </w:rPr>
      </w:r>
    </w:p>
  </w:footnote>
  <w:footnote w:id="78">
    <w:p w:rsidR="00000000" w:rsidDel="00000000" w:rsidP="00000000" w:rsidRDefault="00000000" w:rsidRPr="00000000" w14:paraId="0000011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NASA. 2020. “Artemis Accords - NASA.” NASA. 2020. </w:t>
      </w:r>
      <w:hyperlink r:id="rId50">
        <w:r w:rsidDel="00000000" w:rsidR="00000000" w:rsidRPr="00000000">
          <w:rPr>
            <w:rFonts w:ascii="Times New Roman" w:cs="Times New Roman" w:eastAsia="Times New Roman" w:hAnsi="Times New Roman"/>
            <w:color w:val="1155cc"/>
            <w:sz w:val="20"/>
            <w:szCs w:val="20"/>
            <w:u w:val="single"/>
            <w:rtl w:val="0"/>
          </w:rPr>
          <w:t xml:space="preserve">https://www.nasa.gov/artemis-accords/</w:t>
        </w:r>
      </w:hyperlink>
      <w:r w:rsidDel="00000000" w:rsidR="00000000" w:rsidRPr="00000000">
        <w:rPr>
          <w:rFonts w:ascii="Times New Roman" w:cs="Times New Roman" w:eastAsia="Times New Roman" w:hAnsi="Times New Roman"/>
          <w:sz w:val="20"/>
          <w:szCs w:val="20"/>
          <w:rtl w:val="0"/>
        </w:rPr>
        <w:t xml:space="preserve">. </w:t>
      </w:r>
    </w:p>
  </w:footnote>
  <w:footnote w:id="79">
    <w:p w:rsidR="00000000" w:rsidDel="00000000" w:rsidP="00000000" w:rsidRDefault="00000000" w:rsidRPr="00000000" w14:paraId="0000011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“Artemis Accords - United States Department of State.” 2025. United States Department of State. January 23, 2025. </w:t>
      </w:r>
      <w:hyperlink r:id="rId51">
        <w:r w:rsidDel="00000000" w:rsidR="00000000" w:rsidRPr="00000000">
          <w:rPr>
            <w:rFonts w:ascii="Times New Roman" w:cs="Times New Roman" w:eastAsia="Times New Roman" w:hAnsi="Times New Roman"/>
            <w:color w:val="1155cc"/>
            <w:sz w:val="20"/>
            <w:szCs w:val="20"/>
            <w:u w:val="single"/>
            <w:rtl w:val="0"/>
          </w:rPr>
          <w:t xml:space="preserve">https://www.state.gov/artemis-accords</w:t>
        </w:r>
      </w:hyperlink>
      <w:r w:rsidDel="00000000" w:rsidR="00000000" w:rsidRPr="00000000">
        <w:rPr>
          <w:rFonts w:ascii="Times New Roman" w:cs="Times New Roman" w:eastAsia="Times New Roman" w:hAnsi="Times New Roman"/>
          <w:sz w:val="20"/>
          <w:szCs w:val="20"/>
          <w:rtl w:val="0"/>
        </w:rPr>
        <w:t xml:space="preserve">. </w:t>
      </w:r>
    </w:p>
  </w:footnote>
  <w:footnote w:id="89">
    <w:p w:rsidR="00000000" w:rsidDel="00000000" w:rsidP="00000000" w:rsidRDefault="00000000" w:rsidRPr="00000000" w14:paraId="0000011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Commercial Space. 2024. “The Outer Space Treaty vs. the Artemis Accords: A Roadmap for the Future – Association of Commercial Space Professionals.” Acsp.space. 2024. </w:t>
      </w:r>
      <w:hyperlink r:id="rId52">
        <w:r w:rsidDel="00000000" w:rsidR="00000000" w:rsidRPr="00000000">
          <w:rPr>
            <w:rFonts w:ascii="Times New Roman" w:cs="Times New Roman" w:eastAsia="Times New Roman" w:hAnsi="Times New Roman"/>
            <w:color w:val="1155cc"/>
            <w:sz w:val="20"/>
            <w:szCs w:val="20"/>
            <w:u w:val="single"/>
            <w:rtl w:val="0"/>
          </w:rPr>
          <w:t xml:space="preserve">https://acsp.space/blogs/the-outer-space-treaty-vs-the-artemis-accords-a-roadmap-for-the-future</w:t>
        </w:r>
      </w:hyperlink>
      <w:r w:rsidDel="00000000" w:rsidR="00000000" w:rsidRPr="00000000">
        <w:rPr>
          <w:rFonts w:ascii="Times New Roman" w:cs="Times New Roman" w:eastAsia="Times New Roman" w:hAnsi="Times New Roman"/>
          <w:sz w:val="20"/>
          <w:szCs w:val="20"/>
          <w:rtl w:val="0"/>
        </w:rPr>
        <w:t xml:space="preserve">. </w:t>
      </w:r>
    </w:p>
  </w:footnote>
  <w:footnote w:id="80">
    <w:p w:rsidR="00000000" w:rsidDel="00000000" w:rsidP="00000000" w:rsidRDefault="00000000" w:rsidRPr="00000000" w14:paraId="0000011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“A Brief History of Space Exploration | the Aerospace Corporation.” 2018. Aerospace.org. June 1, 2018. </w:t>
      </w:r>
      <w:hyperlink r:id="rId53">
        <w:r w:rsidDel="00000000" w:rsidR="00000000" w:rsidRPr="00000000">
          <w:rPr>
            <w:rFonts w:ascii="Times New Roman" w:cs="Times New Roman" w:eastAsia="Times New Roman" w:hAnsi="Times New Roman"/>
            <w:color w:val="1155cc"/>
            <w:sz w:val="20"/>
            <w:szCs w:val="20"/>
            <w:u w:val="single"/>
            <w:rtl w:val="0"/>
          </w:rPr>
          <w:t xml:space="preserve">https://aerospace.org/article/brief-history-space-exploration</w:t>
        </w:r>
      </w:hyperlink>
      <w:r w:rsidDel="00000000" w:rsidR="00000000" w:rsidRPr="00000000">
        <w:rPr>
          <w:rFonts w:ascii="Times New Roman" w:cs="Times New Roman" w:eastAsia="Times New Roman" w:hAnsi="Times New Roman"/>
          <w:sz w:val="20"/>
          <w:szCs w:val="20"/>
          <w:rtl w:val="0"/>
        </w:rPr>
        <w:t xml:space="preserve">. </w:t>
      </w:r>
    </w:p>
  </w:footnote>
  <w:footnote w:id="84">
    <w:p w:rsidR="00000000" w:rsidDel="00000000" w:rsidP="00000000" w:rsidRDefault="00000000" w:rsidRPr="00000000" w14:paraId="0000011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Rausser, Gordon C, Eui-Hyun Choi, and Alexandre M Bayen. 2023. “Public–Private Partnerships in Fostering Outer Space Innovations.” </w:t>
      </w:r>
      <w:r w:rsidDel="00000000" w:rsidR="00000000" w:rsidRPr="00000000">
        <w:rPr>
          <w:rFonts w:ascii="Times New Roman" w:cs="Times New Roman" w:eastAsia="Times New Roman" w:hAnsi="Times New Roman"/>
          <w:i w:val="1"/>
          <w:iCs w:val="1"/>
          <w:sz w:val="20"/>
          <w:szCs w:val="20"/>
          <w:rtl w:val="0"/>
        </w:rPr>
        <w:t xml:space="preserve">Proceedings of the National Academy of Sciences of the United States of America</w:t>
      </w:r>
      <w:r w:rsidDel="00000000" w:rsidR="00000000" w:rsidRPr="00000000">
        <w:rPr>
          <w:rFonts w:ascii="Times New Roman" w:cs="Times New Roman" w:eastAsia="Times New Roman" w:hAnsi="Times New Roman"/>
          <w:sz w:val="20"/>
          <w:szCs w:val="20"/>
          <w:rtl w:val="0"/>
        </w:rPr>
        <w:t xml:space="preserve"> 120 (43). </w:t>
      </w:r>
      <w:hyperlink r:id="rId54">
        <w:r w:rsidDel="00000000" w:rsidR="00000000" w:rsidRPr="00000000">
          <w:rPr>
            <w:rFonts w:ascii="Times New Roman" w:cs="Times New Roman" w:eastAsia="Times New Roman" w:hAnsi="Times New Roman"/>
            <w:color w:val="1155cc"/>
            <w:sz w:val="20"/>
            <w:szCs w:val="20"/>
            <w:u w:val="single"/>
            <w:rtl w:val="0"/>
          </w:rPr>
          <w:t xml:space="preserve">https://doi.org/10.1073/pnas.2222013120</w:t>
        </w:r>
      </w:hyperlink>
      <w:r w:rsidDel="00000000" w:rsidR="00000000" w:rsidRPr="00000000">
        <w:rPr>
          <w:rFonts w:ascii="Times New Roman" w:cs="Times New Roman" w:eastAsia="Times New Roman" w:hAnsi="Times New Roman"/>
          <w:sz w:val="20"/>
          <w:szCs w:val="20"/>
          <w:rtl w:val="0"/>
        </w:rPr>
        <w:t xml:space="preserve">. </w:t>
      </w:r>
    </w:p>
  </w:footnote>
  <w:footnote w:id="81">
    <w:p w:rsidR="00000000" w:rsidDel="00000000" w:rsidP="00000000" w:rsidRDefault="00000000" w:rsidRPr="00000000" w14:paraId="0000011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SpaceX. 2024. “SpaceX.” SpaceX. SpaceX. 2024. </w:t>
      </w:r>
      <w:hyperlink r:id="rId55">
        <w:r w:rsidDel="00000000" w:rsidR="00000000" w:rsidRPr="00000000">
          <w:rPr>
            <w:rFonts w:ascii="Times New Roman" w:cs="Times New Roman" w:eastAsia="Times New Roman" w:hAnsi="Times New Roman"/>
            <w:color w:val="1155cc"/>
            <w:sz w:val="20"/>
            <w:szCs w:val="20"/>
            <w:u w:val="single"/>
            <w:rtl w:val="0"/>
          </w:rPr>
          <w:t xml:space="preserve">https://www.spacex.com/</w:t>
        </w:r>
      </w:hyperlink>
      <w:r w:rsidDel="00000000" w:rsidR="00000000" w:rsidRPr="00000000">
        <w:rPr>
          <w:rFonts w:ascii="Times New Roman" w:cs="Times New Roman" w:eastAsia="Times New Roman" w:hAnsi="Times New Roman"/>
          <w:sz w:val="20"/>
          <w:szCs w:val="20"/>
          <w:rtl w:val="0"/>
        </w:rPr>
        <w:t xml:space="preserve">. </w:t>
      </w:r>
    </w:p>
  </w:footnote>
  <w:footnote w:id="82">
    <w:p w:rsidR="00000000" w:rsidDel="00000000" w:rsidP="00000000" w:rsidRDefault="00000000" w:rsidRPr="00000000" w14:paraId="0000011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Blue Origin. 2019. “Blue Origin.” Blue Origin. 2019. </w:t>
      </w:r>
      <w:hyperlink r:id="rId56">
        <w:r w:rsidDel="00000000" w:rsidR="00000000" w:rsidRPr="00000000">
          <w:rPr>
            <w:rFonts w:ascii="Times New Roman" w:cs="Times New Roman" w:eastAsia="Times New Roman" w:hAnsi="Times New Roman"/>
            <w:color w:val="1155cc"/>
            <w:sz w:val="20"/>
            <w:szCs w:val="20"/>
            <w:u w:val="single"/>
            <w:rtl w:val="0"/>
          </w:rPr>
          <w:t xml:space="preserve">https://www.blueorigin.com/</w:t>
        </w:r>
      </w:hyperlink>
      <w:r w:rsidDel="00000000" w:rsidR="00000000" w:rsidRPr="00000000">
        <w:rPr>
          <w:rFonts w:ascii="Times New Roman" w:cs="Times New Roman" w:eastAsia="Times New Roman" w:hAnsi="Times New Roman"/>
          <w:sz w:val="20"/>
          <w:szCs w:val="20"/>
          <w:rtl w:val="0"/>
        </w:rPr>
        <w:t xml:space="preserve">. </w:t>
      </w:r>
    </w:p>
  </w:footnote>
  <w:footnote w:id="83">
    <w:p w:rsidR="00000000" w:rsidDel="00000000" w:rsidP="00000000" w:rsidRDefault="00000000" w:rsidRPr="00000000" w14:paraId="0000012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Virgin Galactic. 2024. “Virgin Galactic.” Virgingalactic.com. 2024. https://www.virgingalactic.com/.</w:t>
      </w:r>
    </w:p>
  </w:footnote>
  <w:footnote w:id="88">
    <w:p w:rsidR="00000000" w:rsidDel="00000000" w:rsidP="00000000" w:rsidRDefault="00000000" w:rsidRPr="00000000" w14:paraId="0000012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NASA. 2020. “Artemis Accords - NASA.” NASA. 2020. </w:t>
      </w:r>
      <w:hyperlink r:id="rId57">
        <w:r w:rsidDel="00000000" w:rsidR="00000000" w:rsidRPr="00000000">
          <w:rPr>
            <w:rFonts w:ascii="Times New Roman" w:cs="Times New Roman" w:eastAsia="Times New Roman" w:hAnsi="Times New Roman"/>
            <w:color w:val="1155cc"/>
            <w:sz w:val="20"/>
            <w:szCs w:val="20"/>
            <w:u w:val="single"/>
            <w:rtl w:val="0"/>
          </w:rPr>
          <w:t xml:space="preserve">https://www.nasa.gov/artemis-accords/</w:t>
        </w:r>
      </w:hyperlink>
      <w:r w:rsidDel="00000000" w:rsidR="00000000" w:rsidRPr="00000000">
        <w:rPr>
          <w:rFonts w:ascii="Times New Roman" w:cs="Times New Roman" w:eastAsia="Times New Roman" w:hAnsi="Times New Roman"/>
          <w:sz w:val="20"/>
          <w:szCs w:val="20"/>
          <w:rtl w:val="0"/>
        </w:rPr>
        <w:t xml:space="preserve">. </w:t>
      </w:r>
    </w:p>
  </w:footnote>
  <w:footnote w:id="85">
    <w:p w:rsidR="00000000" w:rsidDel="00000000" w:rsidP="00000000" w:rsidRDefault="00000000" w:rsidRPr="00000000" w14:paraId="0000012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NASA. 2020. “Artemis Accords - NASA.” NASA. 2020. </w:t>
      </w:r>
      <w:hyperlink r:id="rId58">
        <w:r w:rsidDel="00000000" w:rsidR="00000000" w:rsidRPr="00000000">
          <w:rPr>
            <w:rFonts w:ascii="Times New Roman" w:cs="Times New Roman" w:eastAsia="Times New Roman" w:hAnsi="Times New Roman"/>
            <w:color w:val="1155cc"/>
            <w:sz w:val="20"/>
            <w:szCs w:val="20"/>
            <w:u w:val="single"/>
            <w:rtl w:val="0"/>
          </w:rPr>
          <w:t xml:space="preserve">https://www.nasa.gov/artemis-accords/</w:t>
        </w:r>
      </w:hyperlink>
      <w:r w:rsidDel="00000000" w:rsidR="00000000" w:rsidRPr="00000000">
        <w:rPr>
          <w:rFonts w:ascii="Times New Roman" w:cs="Times New Roman" w:eastAsia="Times New Roman" w:hAnsi="Times New Roman"/>
          <w:sz w:val="20"/>
          <w:szCs w:val="20"/>
          <w:rtl w:val="0"/>
        </w:rPr>
        <w:t xml:space="preserve">. </w:t>
      </w:r>
    </w:p>
  </w:footnote>
  <w:footnote w:id="91">
    <w:p w:rsidR="00000000" w:rsidDel="00000000" w:rsidP="00000000" w:rsidRDefault="00000000" w:rsidRPr="00000000" w14:paraId="0000012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“The Tallinn Manual.” 2017. Ccdcoe.org. 2017. </w:t>
      </w:r>
      <w:hyperlink r:id="rId59">
        <w:r w:rsidDel="00000000" w:rsidR="00000000" w:rsidRPr="00000000">
          <w:rPr>
            <w:rFonts w:ascii="Times New Roman" w:cs="Times New Roman" w:eastAsia="Times New Roman" w:hAnsi="Times New Roman"/>
            <w:color w:val="1155cc"/>
            <w:sz w:val="20"/>
            <w:szCs w:val="20"/>
            <w:u w:val="single"/>
            <w:rtl w:val="0"/>
          </w:rPr>
          <w:t xml:space="preserve">https://ccdcoe.org/research/tallinn-manual</w:t>
        </w:r>
      </w:hyperlink>
      <w:r w:rsidDel="00000000" w:rsidR="00000000" w:rsidRPr="00000000">
        <w:rPr>
          <w:rFonts w:ascii="Times New Roman" w:cs="Times New Roman" w:eastAsia="Times New Roman" w:hAnsi="Times New Roman"/>
          <w:sz w:val="20"/>
          <w:szCs w:val="20"/>
          <w:rtl w:val="0"/>
        </w:rPr>
        <w:t xml:space="preserve">. </w:t>
      </w:r>
    </w:p>
  </w:footnote>
  <w:footnote w:id="92">
    <w:p w:rsidR="00000000" w:rsidDel="00000000" w:rsidP="00000000" w:rsidRDefault="00000000" w:rsidRPr="00000000" w14:paraId="0000012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CISA. 2024. “Partnerships and Collaboration | Cybersecurity and Infrastructure Security Agency CISA.” Www.cisa.gov. 2024. </w:t>
      </w:r>
      <w:hyperlink r:id="rId60">
        <w:r w:rsidDel="00000000" w:rsidR="00000000" w:rsidRPr="00000000">
          <w:rPr>
            <w:rFonts w:ascii="Times New Roman" w:cs="Times New Roman" w:eastAsia="Times New Roman" w:hAnsi="Times New Roman"/>
            <w:color w:val="1155cc"/>
            <w:sz w:val="20"/>
            <w:szCs w:val="20"/>
            <w:u w:val="single"/>
            <w:rtl w:val="0"/>
          </w:rPr>
          <w:t xml:space="preserve">https://www.cisa.gov/topics/partnerships-and-collaboration</w:t>
        </w:r>
      </w:hyperlink>
      <w:r w:rsidDel="00000000" w:rsidR="00000000" w:rsidRPr="00000000">
        <w:rPr>
          <w:rFonts w:ascii="Times New Roman" w:cs="Times New Roman" w:eastAsia="Times New Roman" w:hAnsi="Times New Roman"/>
          <w:sz w:val="20"/>
          <w:szCs w:val="20"/>
          <w:rtl w:val="0"/>
        </w:rPr>
        <w:t xml:space="preserve">. </w:t>
      </w:r>
    </w:p>
  </w:footnote>
  <w:footnote w:id="90">
    <w:p w:rsidR="00000000" w:rsidDel="00000000" w:rsidP="00000000" w:rsidRDefault="00000000" w:rsidRPr="00000000" w14:paraId="0000012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Gross, Matthew. 2023. “The Artemis Accords: International Cooperation in the Era of Space Exploration.” Harvard International Review. January 27, 2023. </w:t>
      </w:r>
      <w:hyperlink r:id="rId61">
        <w:r w:rsidDel="00000000" w:rsidR="00000000" w:rsidRPr="00000000">
          <w:rPr>
            <w:rFonts w:ascii="Times New Roman" w:cs="Times New Roman" w:eastAsia="Times New Roman" w:hAnsi="Times New Roman"/>
            <w:color w:val="1155cc"/>
            <w:sz w:val="20"/>
            <w:szCs w:val="20"/>
            <w:u w:val="single"/>
            <w:rtl w:val="0"/>
          </w:rPr>
          <w:t xml:space="preserve">https://hir.harvard.edu/the-artemis-accords/</w:t>
        </w:r>
      </w:hyperlink>
      <w:r w:rsidDel="00000000" w:rsidR="00000000" w:rsidRPr="00000000">
        <w:rPr>
          <w:rFonts w:ascii="Times New Roman" w:cs="Times New Roman" w:eastAsia="Times New Roman" w:hAnsi="Times New Roman"/>
          <w:sz w:val="20"/>
          <w:szCs w:val="20"/>
          <w:rtl w:val="0"/>
        </w:rPr>
        <w:t xml:space="preserve">. </w:t>
      </w:r>
    </w:p>
  </w:footnote>
  <w:footnote w:id="64">
    <w:p w:rsidR="00000000" w:rsidDel="00000000" w:rsidP="00000000" w:rsidRDefault="00000000" w:rsidRPr="00000000" w14:paraId="0000012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Goudarzi, Sara. 2024. “Today’s AI Threat: More like Nuclear Winter than Nuclear War.” Bulletin of the Atomic Scientists. February 11, 2024. </w:t>
      </w:r>
      <w:hyperlink r:id="rId62">
        <w:r w:rsidDel="00000000" w:rsidR="00000000" w:rsidRPr="00000000">
          <w:rPr>
            <w:rFonts w:ascii="Times New Roman" w:cs="Times New Roman" w:eastAsia="Times New Roman" w:hAnsi="Times New Roman"/>
            <w:color w:val="1155cc"/>
            <w:sz w:val="20"/>
            <w:szCs w:val="20"/>
            <w:u w:val="single"/>
            <w:rtl w:val="0"/>
          </w:rPr>
          <w:t xml:space="preserve">https://thebulletin.org/2024/02/todays-ai-threat-more-like-nuclear-winter-than-nuclear-war/</w:t>
        </w:r>
      </w:hyperlink>
      <w:r w:rsidDel="00000000" w:rsidR="00000000" w:rsidRPr="00000000">
        <w:rPr>
          <w:rFonts w:ascii="Times New Roman" w:cs="Times New Roman" w:eastAsia="Times New Roman" w:hAnsi="Times New Roman"/>
          <w:sz w:val="20"/>
          <w:szCs w:val="20"/>
          <w:rtl w:val="0"/>
        </w:rPr>
        <w:t xml:space="preserve">. </w:t>
      </w:r>
    </w:p>
  </w:footnote>
  <w:footnote w:id="87">
    <w:p w:rsidR="00000000" w:rsidDel="00000000" w:rsidP="00000000" w:rsidRDefault="00000000" w:rsidRPr="00000000" w14:paraId="0000012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“‘Fly Me to the Moon’ - What Are the Artemis Accords and What Do They Mean for Russia-US Cooperation on the Moon?” 2024. Ox.ac.uk. 2024. </w:t>
      </w:r>
      <w:hyperlink r:id="rId63">
        <w:r w:rsidDel="00000000" w:rsidR="00000000" w:rsidRPr="00000000">
          <w:rPr>
            <w:rFonts w:ascii="Times New Roman" w:cs="Times New Roman" w:eastAsia="Times New Roman" w:hAnsi="Times New Roman"/>
            <w:color w:val="1155cc"/>
            <w:sz w:val="20"/>
            <w:szCs w:val="20"/>
            <w:u w:val="single"/>
            <w:rtl w:val="0"/>
          </w:rPr>
          <w:t xml:space="preserve">https://uc.web.ox.ac.uk/article/fly-me-to-the-moon-what-are-the-artemis-accords-and-what-do-they-mean-for-russia-us-cooperat</w:t>
        </w:r>
      </w:hyperlink>
      <w:r w:rsidDel="00000000" w:rsidR="00000000" w:rsidRPr="00000000">
        <w:rPr>
          <w:rFonts w:ascii="Times New Roman" w:cs="Times New Roman" w:eastAsia="Times New Roman" w:hAnsi="Times New Roman"/>
          <w:sz w:val="20"/>
          <w:szCs w:val="20"/>
          <w:rtl w:val="0"/>
        </w:rPr>
        <w:t xml:space="preserve">. </w:t>
      </w:r>
    </w:p>
  </w:footnote>
  <w:footnote w:id="86">
    <w:p w:rsidR="00000000" w:rsidDel="00000000" w:rsidP="00000000" w:rsidRDefault="00000000" w:rsidRPr="00000000" w14:paraId="0000012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Ibid.</w:t>
      </w:r>
    </w:p>
  </w:footnote>
  <w:footnote w:id="44">
    <w:p w:rsidR="00000000" w:rsidDel="00000000" w:rsidP="00000000" w:rsidRDefault="00000000" w:rsidRPr="00000000" w14:paraId="0000012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Ibid.</w:t>
      </w:r>
    </w:p>
  </w:footnote>
  <w:footnote w:id="47">
    <w:p w:rsidR="00000000" w:rsidDel="00000000" w:rsidP="00000000" w:rsidRDefault="00000000" w:rsidRPr="00000000" w14:paraId="0000012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Ibid.</w:t>
      </w:r>
    </w:p>
  </w:footnote>
  <w:footnote w:id="48">
    <w:p w:rsidR="00000000" w:rsidDel="00000000" w:rsidP="00000000" w:rsidRDefault="00000000" w:rsidRPr="00000000" w14:paraId="0000012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Yudkowsky, Eliezer. 2023. “The Open Letter on AI Doesn’t Go Far Enough.” Time. Time. March 29, 2023. </w:t>
      </w:r>
      <w:hyperlink r:id="rId64">
        <w:r w:rsidDel="00000000" w:rsidR="00000000" w:rsidRPr="00000000">
          <w:rPr>
            <w:rFonts w:ascii="Times New Roman" w:cs="Times New Roman" w:eastAsia="Times New Roman" w:hAnsi="Times New Roman"/>
            <w:color w:val="1155cc"/>
            <w:sz w:val="20"/>
            <w:szCs w:val="20"/>
            <w:u w:val="single"/>
            <w:rtl w:val="0"/>
          </w:rPr>
          <w:t xml:space="preserve">https://time.com/6266923/ai-eliezer-yudkowsky-open-letter-not-enough/</w:t>
        </w:r>
      </w:hyperlink>
      <w:r w:rsidDel="00000000" w:rsidR="00000000" w:rsidRPr="00000000">
        <w:rPr>
          <w:rFonts w:ascii="Times New Roman" w:cs="Times New Roman" w:eastAsia="Times New Roman" w:hAnsi="Times New Roman"/>
          <w:sz w:val="20"/>
          <w:szCs w:val="20"/>
          <w:rtl w:val="0"/>
        </w:rPr>
        <w:t xml:space="preserve">. </w:t>
      </w:r>
    </w:p>
  </w:footnote>
  <w:footnote w:id="93">
    <w:p w:rsidR="00000000" w:rsidDel="00000000" w:rsidP="00000000" w:rsidRDefault="00000000" w:rsidRPr="00000000" w14:paraId="0000013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US EPA. 2018. “International Actions - the Montreal Protocol on Substances That Deplete the Ozone Layer | US EPA.” US EPA. October 2018. </w:t>
      </w:r>
      <w:hyperlink r:id="rId65">
        <w:r w:rsidDel="00000000" w:rsidR="00000000" w:rsidRPr="00000000">
          <w:rPr>
            <w:rFonts w:ascii="Times New Roman" w:cs="Times New Roman" w:eastAsia="Times New Roman" w:hAnsi="Times New Roman"/>
            <w:color w:val="1155cc"/>
            <w:sz w:val="20"/>
            <w:szCs w:val="20"/>
            <w:u w:val="single"/>
            <w:rtl w:val="0"/>
          </w:rPr>
          <w:t xml:space="preserve">https://www.epa.gov/ozone-layer-protection/international-actions-montreal-protocol-substances-deplete-ozone-layer</w:t>
        </w:r>
      </w:hyperlink>
      <w:r w:rsidDel="00000000" w:rsidR="00000000" w:rsidRPr="00000000">
        <w:rPr>
          <w:rFonts w:ascii="Times New Roman" w:cs="Times New Roman" w:eastAsia="Times New Roman" w:hAnsi="Times New Roman"/>
          <w:sz w:val="20"/>
          <w:szCs w:val="20"/>
          <w:rtl w:val="0"/>
        </w:rPr>
        <w:t xml:space="preserve">. </w:t>
      </w:r>
    </w:p>
  </w:footnote>
  <w:footnote w:id="94">
    <w:p w:rsidR="00000000" w:rsidDel="00000000" w:rsidP="00000000" w:rsidRDefault="00000000" w:rsidRPr="00000000" w14:paraId="0000013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United Nations Environment Programme. n.d. “About Montreal Protocol.” UN Environment Programme. United Nations Environment Programme. </w:t>
      </w:r>
      <w:hyperlink r:id="rId66">
        <w:r w:rsidDel="00000000" w:rsidR="00000000" w:rsidRPr="00000000">
          <w:rPr>
            <w:rFonts w:ascii="Times New Roman" w:cs="Times New Roman" w:eastAsia="Times New Roman" w:hAnsi="Times New Roman"/>
            <w:color w:val="1155cc"/>
            <w:sz w:val="20"/>
            <w:szCs w:val="20"/>
            <w:u w:val="single"/>
            <w:rtl w:val="0"/>
          </w:rPr>
          <w:t xml:space="preserve">https://www.unep.org/ozonaction/who-we-are/about-montreal-protocol</w:t>
        </w:r>
      </w:hyperlink>
      <w:r w:rsidDel="00000000" w:rsidR="00000000" w:rsidRPr="00000000">
        <w:rPr>
          <w:rFonts w:ascii="Times New Roman" w:cs="Times New Roman" w:eastAsia="Times New Roman" w:hAnsi="Times New Roman"/>
          <w:sz w:val="20"/>
          <w:szCs w:val="20"/>
          <w:rtl w:val="0"/>
        </w:rPr>
        <w:t xml:space="preserve">. </w:t>
      </w:r>
    </w:p>
  </w:footnote>
  <w:footnote w:id="97">
    <w:p w:rsidR="00000000" w:rsidDel="00000000" w:rsidP="00000000" w:rsidRDefault="00000000" w:rsidRPr="00000000" w14:paraId="0000013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Ibid.</w:t>
      </w:r>
    </w:p>
  </w:footnote>
  <w:footnote w:id="96">
    <w:p w:rsidR="00000000" w:rsidDel="00000000" w:rsidP="00000000" w:rsidRDefault="00000000" w:rsidRPr="00000000" w14:paraId="0000013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United Nations Environment Programme. n.d. “About Montreal Protocol.” UN Environment Programme. United Nations Environment Programme. </w:t>
      </w:r>
      <w:hyperlink r:id="rId67">
        <w:r w:rsidDel="00000000" w:rsidR="00000000" w:rsidRPr="00000000">
          <w:rPr>
            <w:rFonts w:ascii="Times New Roman" w:cs="Times New Roman" w:eastAsia="Times New Roman" w:hAnsi="Times New Roman"/>
            <w:color w:val="1155cc"/>
            <w:sz w:val="20"/>
            <w:szCs w:val="20"/>
            <w:u w:val="single"/>
            <w:rtl w:val="0"/>
          </w:rPr>
          <w:t xml:space="preserve">https://www.unep.org/ozonaction/who-we-are/about-montreal-protocol</w:t>
        </w:r>
      </w:hyperlink>
      <w:r w:rsidDel="00000000" w:rsidR="00000000" w:rsidRPr="00000000">
        <w:rPr>
          <w:rFonts w:ascii="Times New Roman" w:cs="Times New Roman" w:eastAsia="Times New Roman" w:hAnsi="Times New Roman"/>
          <w:sz w:val="20"/>
          <w:szCs w:val="20"/>
          <w:rtl w:val="0"/>
        </w:rPr>
        <w:t xml:space="preserve">. </w:t>
      </w:r>
    </w:p>
  </w:footnote>
  <w:footnote w:id="95">
    <w:p w:rsidR="00000000" w:rsidDel="00000000" w:rsidP="00000000" w:rsidRDefault="00000000" w:rsidRPr="00000000" w14:paraId="0000013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Department of Climate Change, Energy, the Environment and Water. 2022. “Montreal Protocol on Substances That Deplete the Ozone Layer - DCCEEW.” Dcceew.gov.au. 2022. </w:t>
      </w:r>
      <w:hyperlink r:id="rId68">
        <w:r w:rsidDel="00000000" w:rsidR="00000000" w:rsidRPr="00000000">
          <w:rPr>
            <w:rFonts w:ascii="Times New Roman" w:cs="Times New Roman" w:eastAsia="Times New Roman" w:hAnsi="Times New Roman"/>
            <w:color w:val="1155cc"/>
            <w:sz w:val="20"/>
            <w:szCs w:val="20"/>
            <w:u w:val="single"/>
            <w:rtl w:val="0"/>
          </w:rPr>
          <w:t xml:space="preserve">https://www.dcceew.gov.au/environment/protection/ozone/montreal-protocol</w:t>
        </w:r>
      </w:hyperlink>
      <w:r w:rsidDel="00000000" w:rsidR="00000000" w:rsidRPr="00000000">
        <w:rPr>
          <w:rFonts w:ascii="Times New Roman" w:cs="Times New Roman" w:eastAsia="Times New Roman" w:hAnsi="Times New Roman"/>
          <w:sz w:val="20"/>
          <w:szCs w:val="20"/>
          <w:rtl w:val="0"/>
        </w:rPr>
        <w:t xml:space="preserve">. </w:t>
      </w:r>
    </w:p>
  </w:footnote>
  <w:footnote w:id="99">
    <w:p w:rsidR="00000000" w:rsidDel="00000000" w:rsidP="00000000" w:rsidRDefault="00000000" w:rsidRPr="00000000" w14:paraId="0000013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UNFCCC. 2015. “Key Aspects of the Paris Agreement.” United Nations Climate Change. United Nations. 2015. </w:t>
      </w:r>
      <w:hyperlink r:id="rId69">
        <w:r w:rsidDel="00000000" w:rsidR="00000000" w:rsidRPr="00000000">
          <w:rPr>
            <w:rFonts w:ascii="Times New Roman" w:cs="Times New Roman" w:eastAsia="Times New Roman" w:hAnsi="Times New Roman"/>
            <w:color w:val="1155cc"/>
            <w:sz w:val="20"/>
            <w:szCs w:val="20"/>
            <w:u w:val="single"/>
            <w:rtl w:val="0"/>
          </w:rPr>
          <w:t xml:space="preserve">https://unfccc.int/most-requested/key-aspects-of-the-paris-agreement</w:t>
        </w:r>
      </w:hyperlink>
      <w:r w:rsidDel="00000000" w:rsidR="00000000" w:rsidRPr="00000000">
        <w:rPr>
          <w:rFonts w:ascii="Times New Roman" w:cs="Times New Roman" w:eastAsia="Times New Roman" w:hAnsi="Times New Roman"/>
          <w:sz w:val="20"/>
          <w:szCs w:val="20"/>
          <w:rtl w:val="0"/>
        </w:rPr>
        <w:t xml:space="preserve">. </w:t>
      </w:r>
    </w:p>
  </w:footnote>
  <w:footnote w:id="101">
    <w:p w:rsidR="00000000" w:rsidDel="00000000" w:rsidP="00000000" w:rsidRDefault="00000000" w:rsidRPr="00000000" w14:paraId="0000013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Neuillé, Hugo. 2025. “From Safety to Action: The Upcoming French AI Summit.” Tech Policy Press. February 5, 2025. </w:t>
      </w:r>
      <w:hyperlink r:id="rId70">
        <w:r w:rsidDel="00000000" w:rsidR="00000000" w:rsidRPr="00000000">
          <w:rPr>
            <w:rFonts w:ascii="Times New Roman" w:cs="Times New Roman" w:eastAsia="Times New Roman" w:hAnsi="Times New Roman"/>
            <w:color w:val="1155cc"/>
            <w:sz w:val="20"/>
            <w:szCs w:val="20"/>
            <w:u w:val="single"/>
            <w:rtl w:val="0"/>
          </w:rPr>
          <w:t xml:space="preserve">https://www.techpolicy.press/from-safety-to-action-the-upcoming-french-ai-summit/</w:t>
        </w:r>
      </w:hyperlink>
      <w:r w:rsidDel="00000000" w:rsidR="00000000" w:rsidRPr="00000000">
        <w:rPr>
          <w:rFonts w:ascii="Times New Roman" w:cs="Times New Roman" w:eastAsia="Times New Roman" w:hAnsi="Times New Roman"/>
          <w:sz w:val="20"/>
          <w:szCs w:val="20"/>
          <w:rtl w:val="0"/>
        </w:rPr>
        <w:t xml:space="preserve">. </w:t>
      </w:r>
    </w:p>
  </w:footnote>
  <w:footnote w:id="26">
    <w:p w:rsidR="00000000" w:rsidDel="00000000" w:rsidP="00000000" w:rsidRDefault="00000000" w:rsidRPr="00000000" w14:paraId="0000013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Future of Life Institute. n.d. “Educating about Lethal Autonomous Weapons.” Future of Life Institute. </w:t>
      </w:r>
      <w:hyperlink r:id="rId71">
        <w:r w:rsidDel="00000000" w:rsidR="00000000" w:rsidRPr="00000000">
          <w:rPr>
            <w:rFonts w:ascii="Times New Roman" w:cs="Times New Roman" w:eastAsia="Times New Roman" w:hAnsi="Times New Roman"/>
            <w:color w:val="1155cc"/>
            <w:sz w:val="20"/>
            <w:szCs w:val="20"/>
            <w:u w:val="single"/>
            <w:rtl w:val="0"/>
          </w:rPr>
          <w:t xml:space="preserve">https://futureoflife.org/project/lethal-autonomous-weapons-systems/</w:t>
        </w:r>
      </w:hyperlink>
      <w:r w:rsidDel="00000000" w:rsidR="00000000" w:rsidRPr="00000000">
        <w:rPr>
          <w:rFonts w:ascii="Times New Roman" w:cs="Times New Roman" w:eastAsia="Times New Roman" w:hAnsi="Times New Roman"/>
          <w:sz w:val="20"/>
          <w:szCs w:val="20"/>
          <w:rtl w:val="0"/>
        </w:rPr>
        <w:t xml:space="preserve">. </w:t>
      </w:r>
    </w:p>
  </w:footnote>
  <w:footnote w:id="27">
    <w:p w:rsidR="00000000" w:rsidDel="00000000" w:rsidP="00000000" w:rsidRDefault="00000000" w:rsidRPr="00000000" w14:paraId="0000013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Pfau, Matthias. 2024. “Council Post: Artificial Intelligence: The New Eyes of Surveillance.” Forbes, August 12, 2024. </w:t>
      </w:r>
      <w:hyperlink r:id="rId72">
        <w:r w:rsidDel="00000000" w:rsidR="00000000" w:rsidRPr="00000000">
          <w:rPr>
            <w:rFonts w:ascii="Times New Roman" w:cs="Times New Roman" w:eastAsia="Times New Roman" w:hAnsi="Times New Roman"/>
            <w:color w:val="1155cc"/>
            <w:sz w:val="20"/>
            <w:szCs w:val="20"/>
            <w:u w:val="single"/>
            <w:rtl w:val="0"/>
          </w:rPr>
          <w:t xml:space="preserve">https://www.forbes.com/councils/forbestechcouncil/2024/02/02/artificial-intelligence-the-new-eyes-of-surveillance/</w:t>
        </w:r>
      </w:hyperlink>
      <w:r w:rsidDel="00000000" w:rsidR="00000000" w:rsidRPr="00000000">
        <w:rPr>
          <w:rFonts w:ascii="Times New Roman" w:cs="Times New Roman" w:eastAsia="Times New Roman" w:hAnsi="Times New Roman"/>
          <w:sz w:val="20"/>
          <w:szCs w:val="20"/>
          <w:rtl w:val="0"/>
        </w:rPr>
        <w:t xml:space="preserve">. </w:t>
      </w:r>
    </w:p>
  </w:footnote>
  <w:footnote w:id="25">
    <w:p w:rsidR="00000000" w:rsidDel="00000000" w:rsidP="00000000" w:rsidRDefault="00000000" w:rsidRPr="00000000" w14:paraId="0000013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Marwala, Tshilidzi. 2023. “Militarization of AI Has Severe Implications for Global Security and Warfare.” United Nations University. July 24, 2023. </w:t>
      </w:r>
      <w:hyperlink r:id="rId73">
        <w:r w:rsidDel="00000000" w:rsidR="00000000" w:rsidRPr="00000000">
          <w:rPr>
            <w:rFonts w:ascii="Times New Roman" w:cs="Times New Roman" w:eastAsia="Times New Roman" w:hAnsi="Times New Roman"/>
            <w:color w:val="1155cc"/>
            <w:sz w:val="20"/>
            <w:szCs w:val="20"/>
            <w:u w:val="single"/>
            <w:rtl w:val="0"/>
          </w:rPr>
          <w:t xml:space="preserve">https://unu.edu/article/militarization-ai-has-severe-implications-global-security-and-warfare</w:t>
        </w:r>
      </w:hyperlink>
      <w:r w:rsidDel="00000000" w:rsidR="00000000" w:rsidRPr="00000000">
        <w:rPr>
          <w:rFonts w:ascii="Times New Roman" w:cs="Times New Roman" w:eastAsia="Times New Roman" w:hAnsi="Times New Roman"/>
          <w:sz w:val="20"/>
          <w:szCs w:val="20"/>
          <w:rtl w:val="0"/>
        </w:rPr>
        <w:t xml:space="preserve">. </w:t>
      </w:r>
    </w:p>
  </w:footnote>
  <w:footnote w:id="40">
    <w:p w:rsidR="00000000" w:rsidDel="00000000" w:rsidP="00000000" w:rsidRDefault="00000000" w:rsidRPr="00000000" w14:paraId="0000013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Tong, Anna, Jeffrey Dastin, and Krystal Hu. 2023. “Exclusive: OpenAI Researchers Warned Board of AI Breakthrough ahead of CEO Ouster, Sources Say.” Reuters, November 23, 2023, sec. Technology. </w:t>
      </w:r>
      <w:hyperlink r:id="rId74">
        <w:r w:rsidDel="00000000" w:rsidR="00000000" w:rsidRPr="00000000">
          <w:rPr>
            <w:rFonts w:ascii="Times New Roman" w:cs="Times New Roman" w:eastAsia="Times New Roman" w:hAnsi="Times New Roman"/>
            <w:color w:val="1155cc"/>
            <w:sz w:val="20"/>
            <w:szCs w:val="20"/>
            <w:u w:val="single"/>
            <w:rtl w:val="0"/>
          </w:rPr>
          <w:t xml:space="preserve">https://www.reuters.com/technology/sam-altmans-ouster-openai-was-precipitated-by-letter-board-about-ai-breakthrough-2023-11-22/</w:t>
        </w:r>
      </w:hyperlink>
      <w:r w:rsidDel="00000000" w:rsidR="00000000" w:rsidRPr="00000000">
        <w:rPr>
          <w:rFonts w:ascii="Times New Roman" w:cs="Times New Roman" w:eastAsia="Times New Roman" w:hAnsi="Times New Roman"/>
          <w:sz w:val="20"/>
          <w:szCs w:val="20"/>
          <w:rtl w:val="0"/>
        </w:rPr>
        <w:t xml:space="preserve">. </w:t>
      </w:r>
    </w:p>
  </w:footnote>
  <w:footnote w:id="41">
    <w:p w:rsidR="00000000" w:rsidDel="00000000" w:rsidP="00000000" w:rsidRDefault="00000000" w:rsidRPr="00000000" w14:paraId="0000013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“OpenAI Has ‘Full Confidence’ in CEO Sam Altman after Investigation, Reinstates Him to Board.” 2024. AP News. March 8, 2024. </w:t>
      </w:r>
      <w:hyperlink r:id="rId75">
        <w:r w:rsidDel="00000000" w:rsidR="00000000" w:rsidRPr="00000000">
          <w:rPr>
            <w:rFonts w:ascii="Times New Roman" w:cs="Times New Roman" w:eastAsia="Times New Roman" w:hAnsi="Times New Roman"/>
            <w:color w:val="1155cc"/>
            <w:sz w:val="20"/>
            <w:szCs w:val="20"/>
            <w:u w:val="single"/>
            <w:rtl w:val="0"/>
          </w:rPr>
          <w:t xml:space="preserve">https://apnews.com/article/openai-sam-altman-chatgpt-2f3303dff2280478947e9bfb04863537</w:t>
        </w:r>
      </w:hyperlink>
      <w:r w:rsidDel="00000000" w:rsidR="00000000" w:rsidRPr="00000000">
        <w:rPr>
          <w:rFonts w:ascii="Times New Roman" w:cs="Times New Roman" w:eastAsia="Times New Roman" w:hAnsi="Times New Roman"/>
          <w:sz w:val="20"/>
          <w:szCs w:val="20"/>
          <w:rtl w:val="0"/>
        </w:rPr>
        <w:t xml:space="preserve">. </w:t>
      </w:r>
    </w:p>
  </w:footnote>
  <w:footnote w:id="43">
    <w:p w:rsidR="00000000" w:rsidDel="00000000" w:rsidP="00000000" w:rsidRDefault="00000000" w:rsidRPr="00000000" w14:paraId="0000013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“Researcher: To Stop AI Killing Us, First Regulate Deepfakes.” 2024. TIME. January 19, 2024. </w:t>
      </w:r>
      <w:hyperlink r:id="rId76">
        <w:r w:rsidDel="00000000" w:rsidR="00000000" w:rsidRPr="00000000">
          <w:rPr>
            <w:rFonts w:ascii="Times New Roman" w:cs="Times New Roman" w:eastAsia="Times New Roman" w:hAnsi="Times New Roman"/>
            <w:color w:val="1155cc"/>
            <w:sz w:val="20"/>
            <w:szCs w:val="20"/>
            <w:u w:val="single"/>
            <w:rtl w:val="0"/>
          </w:rPr>
          <w:t xml:space="preserve">https://time.com/6564434/connor-leahy-ai-risk-deepfakes/</w:t>
        </w:r>
      </w:hyperlink>
      <w:r w:rsidDel="00000000" w:rsidR="00000000" w:rsidRPr="00000000">
        <w:rPr>
          <w:rFonts w:ascii="Times New Roman" w:cs="Times New Roman" w:eastAsia="Times New Roman" w:hAnsi="Times New Roman"/>
          <w:sz w:val="20"/>
          <w:szCs w:val="20"/>
          <w:rtl w:val="0"/>
        </w:rPr>
        <w:t xml:space="preserve">. </w:t>
      </w:r>
    </w:p>
  </w:footnote>
  <w:footnote w:id="45">
    <w:p w:rsidR="00000000" w:rsidDel="00000000" w:rsidP="00000000" w:rsidRDefault="00000000" w:rsidRPr="00000000" w14:paraId="0000013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Barten, Otto. 2024. “There Is a Solution to AI’s Existential Risk Problem.” TIME. Time. November 15, 2024. </w:t>
      </w:r>
      <w:hyperlink r:id="rId77">
        <w:r w:rsidDel="00000000" w:rsidR="00000000" w:rsidRPr="00000000">
          <w:rPr>
            <w:rFonts w:ascii="Times New Roman" w:cs="Times New Roman" w:eastAsia="Times New Roman" w:hAnsi="Times New Roman"/>
            <w:color w:val="1155cc"/>
            <w:sz w:val="20"/>
            <w:szCs w:val="20"/>
            <w:u w:val="single"/>
            <w:rtl w:val="0"/>
          </w:rPr>
          <w:t xml:space="preserve">https://time.com/7171432/conditional-ai-safety-treaty-trump/</w:t>
        </w:r>
      </w:hyperlink>
      <w:r w:rsidDel="00000000" w:rsidR="00000000" w:rsidRPr="00000000">
        <w:rPr>
          <w:rFonts w:ascii="Times New Roman" w:cs="Times New Roman" w:eastAsia="Times New Roman" w:hAnsi="Times New Roman"/>
          <w:sz w:val="20"/>
          <w:szCs w:val="20"/>
          <w:rtl w:val="0"/>
        </w:rPr>
        <w:t xml:space="preserve">. </w:t>
      </w:r>
    </w:p>
  </w:footnote>
  <w:footnote w:id="46">
    <w:p w:rsidR="00000000" w:rsidDel="00000000" w:rsidP="00000000" w:rsidRDefault="00000000" w:rsidRPr="00000000" w14:paraId="0000013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Ibid.</w:t>
      </w:r>
    </w:p>
  </w:footnote>
  <w:footnote w:id="50">
    <w:p w:rsidR="00000000" w:rsidDel="00000000" w:rsidP="00000000" w:rsidRDefault="00000000" w:rsidRPr="00000000" w14:paraId="0000013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Blouin, Lou. 2023. “AI’s Mysterious ‘Black Box’ Problem, Explained.” University of Michigan-Dearborn. March 6, 2023. </w:t>
      </w:r>
      <w:hyperlink r:id="rId78">
        <w:r w:rsidDel="00000000" w:rsidR="00000000" w:rsidRPr="00000000">
          <w:rPr>
            <w:rFonts w:ascii="Times New Roman" w:cs="Times New Roman" w:eastAsia="Times New Roman" w:hAnsi="Times New Roman"/>
            <w:color w:val="1155cc"/>
            <w:sz w:val="20"/>
            <w:szCs w:val="20"/>
            <w:u w:val="single"/>
            <w:rtl w:val="0"/>
          </w:rPr>
          <w:t xml:space="preserve">https://umdearborn.edu/news/ais-mysterious-black-box-problem-explained</w:t>
        </w:r>
      </w:hyperlink>
      <w:r w:rsidDel="00000000" w:rsidR="00000000" w:rsidRPr="00000000">
        <w:rPr>
          <w:rFonts w:ascii="Times New Roman" w:cs="Times New Roman" w:eastAsia="Times New Roman" w:hAnsi="Times New Roman"/>
          <w:sz w:val="20"/>
          <w:szCs w:val="20"/>
          <w:rtl w:val="0"/>
        </w:rPr>
        <w:t xml:space="preserve">. </w:t>
      </w:r>
    </w:p>
  </w:footnote>
  <w:footnote w:id="51">
    <w:p w:rsidR="00000000" w:rsidDel="00000000" w:rsidP="00000000" w:rsidRDefault="00000000" w:rsidRPr="00000000" w14:paraId="0000014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Ibid.</w:t>
      </w:r>
    </w:p>
  </w:footnote>
  <w:footnote w:id="52">
    <w:p w:rsidR="00000000" w:rsidDel="00000000" w:rsidP="00000000" w:rsidRDefault="00000000" w:rsidRPr="00000000" w14:paraId="0000014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Ibid.</w:t>
      </w:r>
    </w:p>
  </w:footnote>
  <w:footnote w:id="49">
    <w:p w:rsidR="00000000" w:rsidDel="00000000" w:rsidP="00000000" w:rsidRDefault="00000000" w:rsidRPr="00000000" w14:paraId="0000014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NASA. 1958. “National Aeronautics and Space Act of 1958 (Unamended) - NASA.” NASA. July 29, 1958. </w:t>
      </w:r>
      <w:hyperlink r:id="rId79">
        <w:r w:rsidDel="00000000" w:rsidR="00000000" w:rsidRPr="00000000">
          <w:rPr>
            <w:rFonts w:ascii="Times New Roman" w:cs="Times New Roman" w:eastAsia="Times New Roman" w:hAnsi="Times New Roman"/>
            <w:color w:val="1155cc"/>
            <w:sz w:val="20"/>
            <w:szCs w:val="20"/>
            <w:u w:val="single"/>
            <w:rtl w:val="0"/>
          </w:rPr>
          <w:t xml:space="preserve">https://www.nasa.gov/history/national-aeronautics-and-space-act-of-1958-unamended/</w:t>
        </w:r>
      </w:hyperlink>
      <w:r w:rsidDel="00000000" w:rsidR="00000000" w:rsidRPr="00000000">
        <w:rPr>
          <w:rFonts w:ascii="Times New Roman" w:cs="Times New Roman" w:eastAsia="Times New Roman" w:hAnsi="Times New Roman"/>
          <w:sz w:val="20"/>
          <w:szCs w:val="20"/>
          <w:rtl w:val="0"/>
        </w:rPr>
        <w:t xml:space="preserve">. </w:t>
      </w:r>
    </w:p>
  </w:footnote>
  <w:footnote w:id="53">
    <w:p w:rsidR="00000000" w:rsidDel="00000000" w:rsidP="00000000" w:rsidRDefault="00000000" w:rsidRPr="00000000" w14:paraId="0000014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Office, U. S. Government Accountability. n.d. “Costs and Benefits of Government Regulation.” Www.gao.gov. </w:t>
      </w:r>
      <w:hyperlink r:id="rId80">
        <w:r w:rsidDel="00000000" w:rsidR="00000000" w:rsidRPr="00000000">
          <w:rPr>
            <w:rFonts w:ascii="Times New Roman" w:cs="Times New Roman" w:eastAsia="Times New Roman" w:hAnsi="Times New Roman"/>
            <w:color w:val="1155cc"/>
            <w:sz w:val="20"/>
            <w:szCs w:val="20"/>
            <w:u w:val="single"/>
            <w:rtl w:val="0"/>
          </w:rPr>
          <w:t xml:space="preserve">https://www.gao.gov/products/107970</w:t>
        </w:r>
      </w:hyperlink>
      <w:r w:rsidDel="00000000" w:rsidR="00000000" w:rsidRPr="00000000">
        <w:rPr>
          <w:rFonts w:ascii="Times New Roman" w:cs="Times New Roman" w:eastAsia="Times New Roman" w:hAnsi="Times New Roman"/>
          <w:sz w:val="20"/>
          <w:szCs w:val="20"/>
          <w:rtl w:val="0"/>
        </w:rPr>
        <w:t xml:space="preserve">. </w:t>
      </w:r>
    </w:p>
  </w:footnote>
  <w:footnote w:id="56">
    <w:p w:rsidR="00000000" w:rsidDel="00000000" w:rsidP="00000000" w:rsidRDefault="00000000" w:rsidRPr="00000000" w14:paraId="0000014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The White House. 2025. “Removing Barriers to American Leadership in Artificial Intelligence – the White House.” The White House. January 23, 2025. </w:t>
      </w:r>
      <w:hyperlink r:id="rId81">
        <w:r w:rsidDel="00000000" w:rsidR="00000000" w:rsidRPr="00000000">
          <w:rPr>
            <w:rFonts w:ascii="Times New Roman" w:cs="Times New Roman" w:eastAsia="Times New Roman" w:hAnsi="Times New Roman"/>
            <w:color w:val="1155cc"/>
            <w:sz w:val="20"/>
            <w:szCs w:val="20"/>
            <w:u w:val="single"/>
            <w:rtl w:val="0"/>
          </w:rPr>
          <w:t xml:space="preserve">https://www.whitehouse.gov/presidential-actions/2025/01/removing-barriers-to-american-leadership-in-artificial-intelligence/</w:t>
        </w:r>
      </w:hyperlink>
      <w:r w:rsidDel="00000000" w:rsidR="00000000" w:rsidRPr="00000000">
        <w:rPr>
          <w:rFonts w:ascii="Times New Roman" w:cs="Times New Roman" w:eastAsia="Times New Roman" w:hAnsi="Times New Roman"/>
          <w:sz w:val="20"/>
          <w:szCs w:val="20"/>
          <w:rtl w:val="0"/>
        </w:rPr>
        <w:t xml:space="preserve">. </w:t>
      </w:r>
    </w:p>
  </w:footnote>
  <w:footnote w:id="102">
    <w:p w:rsidR="00000000" w:rsidDel="00000000" w:rsidP="00000000" w:rsidRDefault="00000000" w:rsidRPr="00000000" w14:paraId="0000014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“Report: Regulate Compute Power to Mitigate Risks of AI.” 2024. Datacenterdynamics.com. February 15, 2024. </w:t>
      </w:r>
      <w:hyperlink r:id="rId82">
        <w:r w:rsidDel="00000000" w:rsidR="00000000" w:rsidRPr="00000000">
          <w:rPr>
            <w:rFonts w:ascii="Times New Roman" w:cs="Times New Roman" w:eastAsia="Times New Roman" w:hAnsi="Times New Roman"/>
            <w:color w:val="1155cc"/>
            <w:sz w:val="20"/>
            <w:szCs w:val="20"/>
            <w:u w:val="single"/>
            <w:rtl w:val="0"/>
          </w:rPr>
          <w:t xml:space="preserve">https://www.datacenterdynamics.com/en/news/report-regulate-compute-power-to-mitigate-risks-of-ai/</w:t>
        </w:r>
      </w:hyperlink>
      <w:r w:rsidDel="00000000" w:rsidR="00000000" w:rsidRPr="00000000">
        <w:rPr>
          <w:rFonts w:ascii="Times New Roman" w:cs="Times New Roman" w:eastAsia="Times New Roman" w:hAnsi="Times New Roman"/>
          <w:sz w:val="20"/>
          <w:szCs w:val="20"/>
          <w:rtl w:val="0"/>
        </w:rPr>
        <w:t xml:space="preserve">. </w:t>
      </w:r>
    </w:p>
  </w:footnote>
  <w:footnote w:id="103">
    <w:p w:rsidR="00000000" w:rsidDel="00000000" w:rsidP="00000000" w:rsidRDefault="00000000" w:rsidRPr="00000000" w14:paraId="0000014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Zhao, Ziwen. 2025. South China Morning Post. March 2, 2025. </w:t>
      </w:r>
      <w:hyperlink r:id="rId83">
        <w:r w:rsidDel="00000000" w:rsidR="00000000" w:rsidRPr="00000000">
          <w:rPr>
            <w:rFonts w:ascii="Times New Roman" w:cs="Times New Roman" w:eastAsia="Times New Roman" w:hAnsi="Times New Roman"/>
            <w:color w:val="1155cc"/>
            <w:sz w:val="20"/>
            <w:szCs w:val="20"/>
            <w:u w:val="single"/>
            <w:rtl w:val="0"/>
          </w:rPr>
          <w:t xml:space="preserve">https://www.scmp.com/news/china/diplomacy/article/3300738/china-and-us-need-cooperate-ai-or-risk-opening-pandoras-box-ambassador-warns</w:t>
        </w:r>
      </w:hyperlink>
      <w:r w:rsidDel="00000000" w:rsidR="00000000" w:rsidRPr="00000000">
        <w:rPr>
          <w:rFonts w:ascii="Times New Roman" w:cs="Times New Roman" w:eastAsia="Times New Roman" w:hAnsi="Times New Roman"/>
          <w:sz w:val="20"/>
          <w:szCs w:val="20"/>
          <w:rtl w:val="0"/>
        </w:rPr>
        <w:t xml:space="preserve">. </w:t>
      </w:r>
    </w:p>
  </w:footnote>
  <w:footnote w:id="98">
    <w:p w:rsidR="00000000" w:rsidDel="00000000" w:rsidP="00000000" w:rsidRDefault="00000000" w:rsidRPr="00000000" w14:paraId="0000014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Ibid.</w:t>
      </w:r>
    </w:p>
  </w:footnote>
  <w:footnote w:id="23">
    <w:p w:rsidR="00000000" w:rsidDel="00000000" w:rsidP="00000000" w:rsidRDefault="00000000" w:rsidRPr="00000000" w14:paraId="0000014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Pan, Xudong, Jiarun Dai, Yihe Fan, and Min Yang. n.d. Review of Frontier AI Systems Have Surpassed the Self-Replicating Red Line. Accessed March 7, 2025. </w:t>
      </w:r>
      <w:hyperlink r:id="rId84">
        <w:r w:rsidDel="00000000" w:rsidR="00000000" w:rsidRPr="00000000">
          <w:rPr>
            <w:rFonts w:ascii="Times New Roman" w:cs="Times New Roman" w:eastAsia="Times New Roman" w:hAnsi="Times New Roman"/>
            <w:color w:val="1155cc"/>
            <w:sz w:val="20"/>
            <w:szCs w:val="20"/>
            <w:u w:val="single"/>
            <w:rtl w:val="0"/>
          </w:rPr>
          <w:t xml:space="preserve">https://doi.org/10.48550/arXiv.2412.12140</w:t>
        </w:r>
      </w:hyperlink>
      <w:r w:rsidDel="00000000" w:rsidR="00000000" w:rsidRPr="00000000">
        <w:rPr>
          <w:rFonts w:ascii="Times New Roman" w:cs="Times New Roman" w:eastAsia="Times New Roman" w:hAnsi="Times New Roman"/>
          <w:sz w:val="20"/>
          <w:szCs w:val="20"/>
          <w:rtl w:val="0"/>
        </w:rPr>
        <w:t xml:space="preserve">. </w:t>
      </w:r>
    </w:p>
  </w:footnote>
  <w:footnote w:id="20">
    <w:p w:rsidR="00000000" w:rsidDel="00000000" w:rsidP="00000000" w:rsidRDefault="00000000" w:rsidRPr="00000000" w14:paraId="00000149">
      <w:pPr>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Mepham, Jim. n.d. “Philosophers Exploring the Good Life | Issue 162 | Philosophy Now.” Philosophynow.org. https://philosophynow.org/issues/162/Philosophers_Exploring_The_Good_Life.</w:t>
      </w:r>
    </w:p>
  </w:footnote>
  <w:footnote w:id="21">
    <w:p w:rsidR="00000000" w:rsidDel="00000000" w:rsidP="00000000" w:rsidRDefault="00000000" w:rsidRPr="00000000" w14:paraId="0000014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Hanel, Paul H. P., Gregory R. Maio, Ana K. S. Soares, Katia C. Vione, Gabriel L. de Holanda Coelho, Valdiney V. Gouveia, Appasaheb C. Patil, Shanmukh V. Kamble, and Antony S. R. Manstead. 2018. “Cross-Cultural Differences and Similarities in Human Value Instantiation.” Frontiers in Psychology 9. </w:t>
      </w:r>
      <w:hyperlink r:id="rId85">
        <w:r w:rsidDel="00000000" w:rsidR="00000000" w:rsidRPr="00000000">
          <w:rPr>
            <w:rFonts w:ascii="Times New Roman" w:cs="Times New Roman" w:eastAsia="Times New Roman" w:hAnsi="Times New Roman"/>
            <w:color w:val="1155cc"/>
            <w:sz w:val="20"/>
            <w:szCs w:val="20"/>
            <w:u w:val="single"/>
            <w:rtl w:val="0"/>
          </w:rPr>
          <w:t xml:space="preserve">https://doi.org/10.3389/fpsyg.2018.00849</w:t>
        </w:r>
      </w:hyperlink>
      <w:r w:rsidDel="00000000" w:rsidR="00000000" w:rsidRPr="00000000">
        <w:rPr>
          <w:rFonts w:ascii="Times New Roman" w:cs="Times New Roman" w:eastAsia="Times New Roman" w:hAnsi="Times New Roman"/>
          <w:sz w:val="20"/>
          <w:szCs w:val="20"/>
          <w:rtl w:val="0"/>
        </w:rPr>
        <w:t xml:space="preserve">. </w:t>
      </w:r>
    </w:p>
  </w:footnote>
  <w:footnote w:id="22">
    <w:p w:rsidR="00000000" w:rsidDel="00000000" w:rsidP="00000000" w:rsidRDefault="00000000" w:rsidRPr="00000000" w14:paraId="0000014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Krakovna, Victoria, Jonathan Uesato, Vladimir Mikulik, Matthew Rahtz, Tom Everitt, Ramana Kumar, Zac Kenton, Jan Leike, and Shane Legg. 2020. “Specification Gaming: The Flip Side of AI Ingenuity.” Google DeepMind. April 21, 2020. </w:t>
      </w:r>
      <w:hyperlink r:id="rId86">
        <w:r w:rsidDel="00000000" w:rsidR="00000000" w:rsidRPr="00000000">
          <w:rPr>
            <w:rFonts w:ascii="Times New Roman" w:cs="Times New Roman" w:eastAsia="Times New Roman" w:hAnsi="Times New Roman"/>
            <w:color w:val="1155cc"/>
            <w:sz w:val="20"/>
            <w:szCs w:val="20"/>
            <w:u w:val="single"/>
            <w:rtl w:val="0"/>
          </w:rPr>
          <w:t xml:space="preserve">https://deepmind.google/discover/blog/specification-gaming-the-flip-side-of-ai-ingenuity/</w:t>
        </w:r>
      </w:hyperlink>
      <w:r w:rsidDel="00000000" w:rsidR="00000000" w:rsidRPr="00000000">
        <w:rPr>
          <w:rFonts w:ascii="Times New Roman" w:cs="Times New Roman" w:eastAsia="Times New Roman" w:hAnsi="Times New Roman"/>
          <w:sz w:val="20"/>
          <w:szCs w:val="20"/>
          <w:rtl w:val="0"/>
        </w:rPr>
        <w:t xml:space="preserve">. </w:t>
      </w:r>
    </w:p>
  </w:footnote>
  <w:footnote w:id="24">
    <w:p w:rsidR="00000000" w:rsidDel="00000000" w:rsidP="00000000" w:rsidRDefault="00000000" w:rsidRPr="00000000" w14:paraId="0000014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Greenblatt, Ryan, Carson Denison, Benjamin Wright, Fabien Roger, Monte MacDiarmid, Sam Marks, Johannes Treutlein, et al. 2024. “Alignment Faking in Large Language Models.” ArXiv (Cornell University), December. </w:t>
      </w:r>
      <w:hyperlink r:id="rId87">
        <w:r w:rsidDel="00000000" w:rsidR="00000000" w:rsidRPr="00000000">
          <w:rPr>
            <w:rFonts w:ascii="Times New Roman" w:cs="Times New Roman" w:eastAsia="Times New Roman" w:hAnsi="Times New Roman"/>
            <w:color w:val="1155cc"/>
            <w:sz w:val="20"/>
            <w:szCs w:val="20"/>
            <w:u w:val="single"/>
            <w:rtl w:val="0"/>
          </w:rPr>
          <w:t xml:space="preserve">https://doi.org/10.48550/arxiv.2412.14093</w:t>
        </w:r>
      </w:hyperlink>
      <w:r w:rsidDel="00000000" w:rsidR="00000000" w:rsidRPr="00000000">
        <w:rPr>
          <w:rFonts w:ascii="Times New Roman" w:cs="Times New Roman" w:eastAsia="Times New Roman" w:hAnsi="Times New Roman"/>
          <w:sz w:val="20"/>
          <w:szCs w:val="20"/>
          <w:rtl w:val="0"/>
        </w:rPr>
        <w:t xml:space="preserve">. </w:t>
      </w:r>
    </w:p>
  </w:footnote>
  <w:footnote w:id="58">
    <w:p w:rsidR="00000000" w:rsidDel="00000000" w:rsidP="00000000" w:rsidRDefault="00000000" w:rsidRPr="00000000" w14:paraId="0000014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Falbo-Wild, Alexander, Caroline Pitman, and Jon Askonas. 2023. Review of A Historical Survey of Technology Control Regimes. Gladstone.ai. Gladstone AI.</w:t>
      </w:r>
    </w:p>
  </w:footnote>
  <w:footnote w:id="100">
    <w:p w:rsidR="00000000" w:rsidDel="00000000" w:rsidP="00000000" w:rsidRDefault="00000000" w:rsidRPr="00000000" w14:paraId="0000014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Ayoub, Mohammed. 2021. “Why the Montreal Protocol Succeeded and the Paris Agreement Is Faltering.” Www.hbku.edu.qa. December 16, 2021. </w:t>
      </w:r>
      <w:hyperlink r:id="rId88">
        <w:r w:rsidDel="00000000" w:rsidR="00000000" w:rsidRPr="00000000">
          <w:rPr>
            <w:rFonts w:ascii="Times New Roman" w:cs="Times New Roman" w:eastAsia="Times New Roman" w:hAnsi="Times New Roman"/>
            <w:color w:val="1155cc"/>
            <w:sz w:val="20"/>
            <w:szCs w:val="20"/>
            <w:u w:val="single"/>
            <w:rtl w:val="0"/>
          </w:rPr>
          <w:t xml:space="preserve">https://www.hbku.edu.qa/en/news/HBKU-SU-WMPSPAF</w:t>
        </w:r>
      </w:hyperlink>
      <w:r w:rsidDel="00000000" w:rsidR="00000000" w:rsidRPr="00000000">
        <w:rPr>
          <w:rFonts w:ascii="Times New Roman" w:cs="Times New Roman" w:eastAsia="Times New Roman" w:hAnsi="Times New Roman"/>
          <w:sz w:val="20"/>
          <w:szCs w:val="20"/>
          <w:rtl w:val="0"/>
        </w:rPr>
        <w:t xml:space="preserve">.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2">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9">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Iris Liao</w:t>
    </w:r>
  </w:p>
  <w:p w:rsidR="00000000" w:rsidDel="00000000" w:rsidP="00000000" w:rsidRDefault="00000000" w:rsidRPr="00000000" w14:paraId="0000012A">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Independent Research</w:t>
    </w:r>
  </w:p>
  <w:p w:rsidR="00000000" w:rsidDel="00000000" w:rsidP="00000000" w:rsidRDefault="00000000" w:rsidRPr="00000000" w14:paraId="0000012B">
    <w:pPr>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Professor Curtis Bradley</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header" Target="header2.xml"/><Relationship Id="rId10" Type="http://schemas.openxmlformats.org/officeDocument/2006/relationships/footer" Target="footer2.xml"/></Relationships>
</file>

<file path=word/_rels/footnotes.xml.rels><?xml version="1.0" encoding="UTF-8" standalone="yes"?><Relationships xmlns="http://schemas.openxmlformats.org/package/2006/relationships"><Relationship Id="rId40" Type="http://schemas.openxmlformats.org/officeDocument/2006/relationships/hyperlink" Target="https://www.state.gov/nuclear-nonproliferation-treaty" TargetMode="External"/><Relationship Id="rId84" Type="http://schemas.openxmlformats.org/officeDocument/2006/relationships/hyperlink" Target="https://doi.org/10.48550/arXiv.2412.12140" TargetMode="External"/><Relationship Id="rId83" Type="http://schemas.openxmlformats.org/officeDocument/2006/relationships/hyperlink" Target="https://www.scmp.com/news/china/diplomacy/article/3300738/china-and-us-need-cooperate-ai-or-risk-opening-pandoras-box-ambassador-warns" TargetMode="External"/><Relationship Id="rId42" Type="http://schemas.openxmlformats.org/officeDocument/2006/relationships/hyperlink" Target="https://www.brookings.edu/articles/experts-assess-the-nuclear-non-proliferation-treaty-50-years-after-it-went-into-effect/" TargetMode="External"/><Relationship Id="rId86" Type="http://schemas.openxmlformats.org/officeDocument/2006/relationships/hyperlink" Target="https://deepmind.google/discover/blog/specification-gaming-the-flip-side-of-ai-ingenuity/" TargetMode="External"/><Relationship Id="rId41" Type="http://schemas.openxmlformats.org/officeDocument/2006/relationships/hyperlink" Target="http://www.nti.org" TargetMode="External"/><Relationship Id="rId85" Type="http://schemas.openxmlformats.org/officeDocument/2006/relationships/hyperlink" Target="https://doi.org/10.3389/fpsyg.2018.00849" TargetMode="External"/><Relationship Id="rId44" Type="http://schemas.openxmlformats.org/officeDocument/2006/relationships/hyperlink" Target="https://www.ohchr.org/en/instruments-mechanisms/instruments/universal-declaration-human-genome-and-human-rights" TargetMode="External"/><Relationship Id="rId88" Type="http://schemas.openxmlformats.org/officeDocument/2006/relationships/hyperlink" Target="https://www.hbku.edu.qa/en/news/HBKU-SU-WMPSPAF" TargetMode="External"/><Relationship Id="rId43" Type="http://schemas.openxmlformats.org/officeDocument/2006/relationships/hyperlink" Target="https://www.ohchr.org/en/instruments-mechanisms/instruments/universal-declaration-human-genome-and-human-rights" TargetMode="External"/><Relationship Id="rId87" Type="http://schemas.openxmlformats.org/officeDocument/2006/relationships/hyperlink" Target="https://doi.org/10.48550/arxiv.2412.14093" TargetMode="External"/><Relationship Id="rId46" Type="http://schemas.openxmlformats.org/officeDocument/2006/relationships/hyperlink" Target="https://www.genome.gov/human-genome-project" TargetMode="External"/><Relationship Id="rId45" Type="http://schemas.openxmlformats.org/officeDocument/2006/relationships/hyperlink" Target="https://doi.org/10.2966/scrip.020105.20" TargetMode="External"/><Relationship Id="rId80" Type="http://schemas.openxmlformats.org/officeDocument/2006/relationships/hyperlink" Target="https://www.gao.gov/products/107970" TargetMode="External"/><Relationship Id="rId82" Type="http://schemas.openxmlformats.org/officeDocument/2006/relationships/hyperlink" Target="https://www.datacenterdynamics.com/en/news/report-regulate-compute-power-to-mitigate-risks-of-ai/" TargetMode="External"/><Relationship Id="rId81" Type="http://schemas.openxmlformats.org/officeDocument/2006/relationships/hyperlink" Target="https://www.whitehouse.gov/presidential-actions/2025/01/removing-barriers-to-american-leadership-in-artificial-intelligence/" TargetMode="External"/><Relationship Id="rId1" Type="http://schemas.openxmlformats.org/officeDocument/2006/relationships/hyperlink" Target="https://meng.uic.edu/news-stories/ai-artificial-intelligence-what-is-the-definition-of-ai-and-how-does-ai-work/" TargetMode="External"/><Relationship Id="rId2" Type="http://schemas.openxmlformats.org/officeDocument/2006/relationships/hyperlink" Target="https://www.economist.com/the-economist-explains/2024/03/28/how-to-define-artificial-general-intelligence" TargetMode="External"/><Relationship Id="rId3" Type="http://schemas.openxmlformats.org/officeDocument/2006/relationships/hyperlink" Target="https://www.economist.com/the-economist-explains/2024/03/28/how-to-define-artificial-general-intelligence" TargetMode="External"/><Relationship Id="rId4" Type="http://schemas.openxmlformats.org/officeDocument/2006/relationships/hyperlink" Target="https://www.technologyreview.com/2023/11/16/1083498/google-deepmind-what-is-artificial-general-intelligence-agi/" TargetMode="External"/><Relationship Id="rId9" Type="http://schemas.openxmlformats.org/officeDocument/2006/relationships/hyperlink" Target="https://www.independent.co.uk/news/science/stephen-hawking-transcendence-looks-at-the-implications-of-artificial-intelligence-but-are-we-taking-ai-seriously-enough-9313474.html" TargetMode="External"/><Relationship Id="rId48" Type="http://schemas.openxmlformats.org/officeDocument/2006/relationships/hyperlink" Target="https://doe-humangenomeproject.ornl.gov/the-human-genome-project-the-private-sector" TargetMode="External"/><Relationship Id="rId47" Type="http://schemas.openxmlformats.org/officeDocument/2006/relationships/hyperlink" Target="https://www.yourgenome.org/theme/why-was-there-a-race-to-sequence-the-human-genome" TargetMode="External"/><Relationship Id="rId49" Type="http://schemas.openxmlformats.org/officeDocument/2006/relationships/hyperlink" Target="https://doi.org/10.2966/scrip.020105.20" TargetMode="External"/><Relationship Id="rId5" Type="http://schemas.openxmlformats.org/officeDocument/2006/relationships/hyperlink" Target="https://www.ibm.com/topics/large-language-models" TargetMode="External"/><Relationship Id="rId6" Type="http://schemas.openxmlformats.org/officeDocument/2006/relationships/hyperlink" Target="https://doi.org/10.48550/arxiv.2303.12712" TargetMode="External"/><Relationship Id="rId7" Type="http://schemas.openxmlformats.org/officeDocument/2006/relationships/hyperlink" Target="https://doi.org/10.48550/arxiv.1705.08807" TargetMode="External"/><Relationship Id="rId8" Type="http://schemas.openxmlformats.org/officeDocument/2006/relationships/hyperlink" Target="https://www.thecompendium.ai/the-state-of-ai-today" TargetMode="External"/><Relationship Id="rId73" Type="http://schemas.openxmlformats.org/officeDocument/2006/relationships/hyperlink" Target="https://unu.edu/article/militarization-ai-has-severe-implications-global-security-and-warfare" TargetMode="External"/><Relationship Id="rId72" Type="http://schemas.openxmlformats.org/officeDocument/2006/relationships/hyperlink" Target="https://www.forbes.com/councils/forbestechcouncil/2024/02/02/artificial-intelligence-the-new-eyes-of-surveillance/" TargetMode="External"/><Relationship Id="rId31" Type="http://schemas.openxmlformats.org/officeDocument/2006/relationships/hyperlink" Target="https://deepmind.google/technologies/alphafold/" TargetMode="External"/><Relationship Id="rId75" Type="http://schemas.openxmlformats.org/officeDocument/2006/relationships/hyperlink" Target="https://apnews.com/article/openai-sam-altman-chatgpt-2f3303dff2280478947e9bfb04863537" TargetMode="External"/><Relationship Id="rId30" Type="http://schemas.openxmlformats.org/officeDocument/2006/relationships/hyperlink" Target="https://www.ft.com/content/72d2c2b1-493b-4520-ae10-41c1a7f3b7e4?utm_source=chatgpt.com" TargetMode="External"/><Relationship Id="rId74" Type="http://schemas.openxmlformats.org/officeDocument/2006/relationships/hyperlink" Target="https://www.reuters.com/technology/sam-altmans-ouster-openai-was-precipitated-by-letter-board-about-ai-breakthrough-2023-11-22/" TargetMode="External"/><Relationship Id="rId33" Type="http://schemas.openxmlformats.org/officeDocument/2006/relationships/hyperlink" Target="https://fortune.com/2023/11/23/why-sam-altman-removal-reinstatement-openai-ceo-matters/" TargetMode="External"/><Relationship Id="rId77" Type="http://schemas.openxmlformats.org/officeDocument/2006/relationships/hyperlink" Target="https://time.com/7171432/conditional-ai-safety-treaty-trump/" TargetMode="External"/><Relationship Id="rId32" Type="http://schemas.openxmlformats.org/officeDocument/2006/relationships/hyperlink" Target="https://www.ft.com/content/72d2c2b1-493b-4520-ae10-41c1a7f3b7e4" TargetMode="External"/><Relationship Id="rId76" Type="http://schemas.openxmlformats.org/officeDocument/2006/relationships/hyperlink" Target="https://time.com/6564434/connor-leahy-ai-risk-deepfakes/" TargetMode="External"/><Relationship Id="rId35" Type="http://schemas.openxmlformats.org/officeDocument/2006/relationships/hyperlink" Target="https://www.whitehouse.gov/briefing-room/presidential-actions/2023/10/30/executive-order-on-the-safe-secure-and-trustworthy-development-and-use-of-artificial-intelligence/" TargetMode="External"/><Relationship Id="rId79" Type="http://schemas.openxmlformats.org/officeDocument/2006/relationships/hyperlink" Target="https://www.nasa.gov/history/national-aeronautics-and-space-act-of-1958-unamended/" TargetMode="External"/><Relationship Id="rId34" Type="http://schemas.openxmlformats.org/officeDocument/2006/relationships/hyperlink" Target="https://www.europarl.europa.eu/topics/en/article/20230601STO93804/eu-ai-act-first-regulation-on-artificial-intelligence" TargetMode="External"/><Relationship Id="rId78" Type="http://schemas.openxmlformats.org/officeDocument/2006/relationships/hyperlink" Target="https://umdearborn.edu/news/ais-mysterious-black-box-problem-explained" TargetMode="External"/><Relationship Id="rId71" Type="http://schemas.openxmlformats.org/officeDocument/2006/relationships/hyperlink" Target="https://futureoflife.org/project/lethal-autonomous-weapons-systems/" TargetMode="External"/><Relationship Id="rId70" Type="http://schemas.openxmlformats.org/officeDocument/2006/relationships/hyperlink" Target="https://www.techpolicy.press/from-safety-to-action-the-upcoming-french-ai-summit/" TargetMode="External"/><Relationship Id="rId37" Type="http://schemas.openxmlformats.org/officeDocument/2006/relationships/hyperlink" Target="https://history.state.gov/milestones/1961-1968/npt" TargetMode="External"/><Relationship Id="rId36" Type="http://schemas.openxmlformats.org/officeDocument/2006/relationships/hyperlink" Target="https://carnegieendowment.org/research/2023/07/chinas-ai-regulations-and-how-they-get-made?lang=en" TargetMode="External"/><Relationship Id="rId39" Type="http://schemas.openxmlformats.org/officeDocument/2006/relationships/hyperlink" Target="https://www.armscontrol.org/factsheets/timeline-nuclear-nonproliferation-treaty-npt" TargetMode="External"/><Relationship Id="rId38" Type="http://schemas.openxmlformats.org/officeDocument/2006/relationships/hyperlink" Target="https://www.whitehouse.gov/briefing-room/presidential-actions/2023/10/30/executive-order-on-the-safe-secure-and-trustworthy-development-and-use-of-artificial-intelligence" TargetMode="External"/><Relationship Id="rId62" Type="http://schemas.openxmlformats.org/officeDocument/2006/relationships/hyperlink" Target="https://thebulletin.org/2024/02/todays-ai-threat-more-like-nuclear-winter-than-nuclear-war/" TargetMode="External"/><Relationship Id="rId61" Type="http://schemas.openxmlformats.org/officeDocument/2006/relationships/hyperlink" Target="https://hir.harvard.edu/the-artemis-accords/" TargetMode="External"/><Relationship Id="rId20" Type="http://schemas.openxmlformats.org/officeDocument/2006/relationships/hyperlink" Target="https://www.reuters.com/world/ukraine-taiwan-face-offs-help-drive-drone-ai-revolution-2024-12-13/" TargetMode="External"/><Relationship Id="rId64" Type="http://schemas.openxmlformats.org/officeDocument/2006/relationships/hyperlink" Target="https://time.com/6266923/ai-eliezer-yudkowsky-open-letter-not-enough/" TargetMode="External"/><Relationship Id="rId63" Type="http://schemas.openxmlformats.org/officeDocument/2006/relationships/hyperlink" Target="https://uc.web.ox.ac.uk/article/fly-me-to-the-moon-what-are-the-artemis-accords-and-what-do-they-mean-for-russia-us-cooperat" TargetMode="External"/><Relationship Id="rId22" Type="http://schemas.openxmlformats.org/officeDocument/2006/relationships/hyperlink" Target="https://www.europarl.europa.eu/RegData/etudes/ATAG/2021/696206/EPRS_ATA(2021)696206_EN.pdf" TargetMode="External"/><Relationship Id="rId66" Type="http://schemas.openxmlformats.org/officeDocument/2006/relationships/hyperlink" Target="https://www.unep.org/ozonaction/who-we-are/about-montreal-protocol" TargetMode="External"/><Relationship Id="rId21" Type="http://schemas.openxmlformats.org/officeDocument/2006/relationships/hyperlink" Target="https://www.ft.com/content/733f040e-3e44-4cd7-b719-bf6f1f4cc27b" TargetMode="External"/><Relationship Id="rId65" Type="http://schemas.openxmlformats.org/officeDocument/2006/relationships/hyperlink" Target="https://www.epa.gov/ozone-layer-protection/international-actions-montreal-protocol-substances-deplete-ozone-layer" TargetMode="External"/><Relationship Id="rId24" Type="http://schemas.openxmlformats.org/officeDocument/2006/relationships/hyperlink" Target="https://www.cnas.org/publications/reports/the-role-of-ai-in-russias-confrontation-with-the-west" TargetMode="External"/><Relationship Id="rId68" Type="http://schemas.openxmlformats.org/officeDocument/2006/relationships/hyperlink" Target="https://www.dcceew.gov.au/environment/protection/ozone/montreal-protocol" TargetMode="External"/><Relationship Id="rId23" Type="http://schemas.openxmlformats.org/officeDocument/2006/relationships/hyperlink" Target="https://www.reuters.com/technology/us-china-meet-geneva-discuss-ai-risks-2024-05-13/" TargetMode="External"/><Relationship Id="rId67" Type="http://schemas.openxmlformats.org/officeDocument/2006/relationships/hyperlink" Target="https://www.unep.org/ozonaction/who-we-are/about-montreal-protocol" TargetMode="External"/><Relationship Id="rId60" Type="http://schemas.openxmlformats.org/officeDocument/2006/relationships/hyperlink" Target="https://www.cisa.gov/topics/partnerships-and-collaboration" TargetMode="External"/><Relationship Id="rId26" Type="http://schemas.openxmlformats.org/officeDocument/2006/relationships/hyperlink" Target="https://nypost.com/2024/12/02/business/elon-musk-seeks-injunction-to-block-openais-plans-to-become-for-profit-frankenstein-filing/" TargetMode="External"/><Relationship Id="rId25" Type="http://schemas.openxmlformats.org/officeDocument/2006/relationships/hyperlink" Target="https://www.businessinsider.com/openai-users-billion-data-centers-chatgpt-2024-12?utm_source=chatgpt.com" TargetMode="External"/><Relationship Id="rId69" Type="http://schemas.openxmlformats.org/officeDocument/2006/relationships/hyperlink" Target="https://unfccc.int/most-requested/key-aspects-of-the-paris-agreement" TargetMode="External"/><Relationship Id="rId28" Type="http://schemas.openxmlformats.org/officeDocument/2006/relationships/hyperlink" Target="https://www.businessinsider.com/how-anthropic-ceo-dario-amodei-defines-artificial-general-intelligence-2024-10" TargetMode="External"/><Relationship Id="rId27" Type="http://schemas.openxmlformats.org/officeDocument/2006/relationships/hyperlink" Target="https://www.anthropic.com/news/introducing-claude" TargetMode="External"/><Relationship Id="rId29" Type="http://schemas.openxmlformats.org/officeDocument/2006/relationships/hyperlink" Target="https://www.theverge.com/2024/1/18/24042354/mark-zuckerberg-meta-agi-reorg-interview?utm_source=chatgpt.com" TargetMode="External"/><Relationship Id="rId51" Type="http://schemas.openxmlformats.org/officeDocument/2006/relationships/hyperlink" Target="https://www.state.gov/artemis-accords" TargetMode="External"/><Relationship Id="rId50" Type="http://schemas.openxmlformats.org/officeDocument/2006/relationships/hyperlink" Target="https://www.nasa.gov/artemis-accords/" TargetMode="External"/><Relationship Id="rId53" Type="http://schemas.openxmlformats.org/officeDocument/2006/relationships/hyperlink" Target="https://aerospace.org/article/brief-history-space-exploration" TargetMode="External"/><Relationship Id="rId52" Type="http://schemas.openxmlformats.org/officeDocument/2006/relationships/hyperlink" Target="https://acsp.space/blogs/the-outer-space-treaty-vs-the-artemis-accords-a-roadmap-for-the-future" TargetMode="External"/><Relationship Id="rId11" Type="http://schemas.openxmlformats.org/officeDocument/2006/relationships/hyperlink" Target="https://openai.com/index/gpts-are-gpts/" TargetMode="External"/><Relationship Id="rId55" Type="http://schemas.openxmlformats.org/officeDocument/2006/relationships/hyperlink" Target="https://www.spacex.com/" TargetMode="External"/><Relationship Id="rId10" Type="http://schemas.openxmlformats.org/officeDocument/2006/relationships/hyperlink" Target="https://mitsloan.mit.edu/ideas-made-to-matter/why-neural-net-pioneer-geoffrey-hinton-sounding-alarm-ai" TargetMode="External"/><Relationship Id="rId54" Type="http://schemas.openxmlformats.org/officeDocument/2006/relationships/hyperlink" Target="https://doi.org/10.1073/pnas.2222013120" TargetMode="External"/><Relationship Id="rId13" Type="http://schemas.openxmlformats.org/officeDocument/2006/relationships/hyperlink" Target="https://doi.org/10.1016/j.isci.2021.103364" TargetMode="External"/><Relationship Id="rId57" Type="http://schemas.openxmlformats.org/officeDocument/2006/relationships/hyperlink" Target="https://www.nasa.gov/artemis-accords/" TargetMode="External"/><Relationship Id="rId12" Type="http://schemas.openxmlformats.org/officeDocument/2006/relationships/hyperlink" Target="https://research.ibm.com/blog/what-is-alignment-ai" TargetMode="External"/><Relationship Id="rId56" Type="http://schemas.openxmlformats.org/officeDocument/2006/relationships/hyperlink" Target="https://www.blueorigin.com/" TargetMode="External"/><Relationship Id="rId15" Type="http://schemas.openxmlformats.org/officeDocument/2006/relationships/hyperlink" Target="https://oversight.house.gov/release/mace-deepfakes-pose-real-dangers/" TargetMode="External"/><Relationship Id="rId59" Type="http://schemas.openxmlformats.org/officeDocument/2006/relationships/hyperlink" Target="https://ccdcoe.org/research/tallinn-manual" TargetMode="External"/><Relationship Id="rId14" Type="http://schemas.openxmlformats.org/officeDocument/2006/relationships/hyperlink" Target="https://doi.org/10.1093/cybsec/tyad011" TargetMode="External"/><Relationship Id="rId58" Type="http://schemas.openxmlformats.org/officeDocument/2006/relationships/hyperlink" Target="https://www.nasa.gov/artemis-accords/" TargetMode="External"/><Relationship Id="rId17" Type="http://schemas.openxmlformats.org/officeDocument/2006/relationships/hyperlink" Target="https://www.nytimes.com/2024/04/08/technology/deepfake-ai-nudes-westfield-high-school.html" TargetMode="External"/><Relationship Id="rId16" Type="http://schemas.openxmlformats.org/officeDocument/2006/relationships/hyperlink" Target="https://www.law.georgetown.edu/gender-journal/online/volume-xxv-online/taylor-swift-deepfakes-and-the-first-amendment-changing-the-legal-landscape-for-victims-of-non-consensual-artificial-pornography/" TargetMode="External"/><Relationship Id="rId19" Type="http://schemas.openxmlformats.org/officeDocument/2006/relationships/hyperlink" Target="https://oversight.house.gov/release/mace-deepfakes-pose-real-dangers/" TargetMode="External"/><Relationship Id="rId18" Type="http://schemas.openxmlformats.org/officeDocument/2006/relationships/hyperlink" Target="https://www.theguardian.com/technology/article/2024/may/10/ceo-wpp-deepfake-sc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