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480" w:lineRule="auto"/>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Punishment in the Age of Existential Threats: The Case for Deterrence Theory</w:t>
      </w:r>
    </w:p>
    <w:p w:rsidR="00000000" w:rsidDel="00000000" w:rsidP="00000000" w:rsidRDefault="00000000" w:rsidRPr="00000000" w14:paraId="00000002">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74a6gnxz7jcu" w:id="0"/>
      <w:bookmarkEnd w:id="0"/>
      <w:r w:rsidDel="00000000" w:rsidR="00000000" w:rsidRPr="00000000">
        <w:rPr>
          <w:rFonts w:ascii="Times New Roman" w:cs="Times New Roman" w:eastAsia="Times New Roman" w:hAnsi="Times New Roman"/>
          <w:b w:val="1"/>
          <w:bCs w:val="1"/>
          <w:sz w:val="24"/>
          <w:szCs w:val="24"/>
          <w:rtl w:val="0"/>
        </w:rPr>
        <w:t xml:space="preserve">Introduction</w:t>
      </w:r>
    </w:p>
    <w:p w:rsidR="00000000" w:rsidDel="00000000" w:rsidP="00000000" w:rsidRDefault="00000000" w:rsidRPr="00000000" w14:paraId="00000003">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Recent transformative technologies introduce the possibility of crimes with unprecedented scope and severity.</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While traditional theories of punishment—deterrence, retributivism, expressivism, and rehabilitation—have long been debated, extreme crimes such as artificial general intelligence (AGI) misuse or nuclear terrorism introduce new arguments for which theories should take precedence. How do existential threats clarify which punishment theory should dominate? Several philosophers have contended with similar questions. Claudia Card's concept of "social death" suggests retributive measures may be inadequate for crimes threatening collective existence.</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Nick Bostrom has written on existential risks and posited that they require fundamentally different prevention approaches from typical crimes.</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04">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Extreme crimes transcend traditional notions of harm and responsibility. Autonomous weapons raise questions about attribution that traditional theories struggle to address.</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Engineered pathogens causing multi-generational harm introduce temporal complexities.</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When single acts could end civilization, punishment calculation becomes problematic. Retributivism collapses—no penalty can be proportional to irreversible catastrophe. Expressivism becomes meaningless without surviving audiences. Rehabilitation is useless if no one remains to rehabilitate.</w:t>
      </w:r>
    </w:p>
    <w:p w:rsidR="00000000" w:rsidDel="00000000" w:rsidP="00000000" w:rsidRDefault="00000000" w:rsidRPr="00000000" w14:paraId="00000005">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Extreme crimes demand a prevention-focused approach, making deterrence the only logical path forward. Yet traditional deterrence assumes rational actors weighing costs and benefits, an assumption that may not hold when ideological or reckless decision-makers are involved. Moreover, existential threats transcend national borders, requiring a unified, cross-jurisdictional strategy that existing legal systems are ill-equipped to handle.</w:t>
      </w:r>
    </w:p>
    <w:p w:rsidR="00000000" w:rsidDel="00000000" w:rsidP="00000000" w:rsidRDefault="00000000" w:rsidRPr="00000000" w14:paraId="00000006">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argue that deterrence emerges as the most logical response to existential crimes, and therefore teaches us that deterrence theory has the most comprehensive framework for understanding our societal reasons for punishment. First, I will examine how punishment theories address conventional crimes and why they falter in the face of existential risks. Through case studies of potential catastrophic scenarios, I argue that deterrence emerges as the only viable theory, not merely for existential threats but for all punishment. By examining punishment through the lens of existential risk, I offer a comprehensive reassessment of why societies punish and how legal systems should evolve to confront unprecedented technological dangers.</w:t>
      </w:r>
      <w:r w:rsidDel="00000000" w:rsidR="00000000" w:rsidRPr="00000000">
        <w:rPr>
          <w:rtl w:val="0"/>
        </w:rPr>
      </w:r>
    </w:p>
    <w:p w:rsidR="00000000" w:rsidDel="00000000" w:rsidP="00000000" w:rsidRDefault="00000000" w:rsidRPr="00000000" w14:paraId="00000007">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wtoexn4qsu7j" w:id="1"/>
      <w:bookmarkEnd w:id="1"/>
      <w:r w:rsidDel="00000000" w:rsidR="00000000" w:rsidRPr="00000000">
        <w:rPr>
          <w:rFonts w:ascii="Times New Roman" w:cs="Times New Roman" w:eastAsia="Times New Roman" w:hAnsi="Times New Roman"/>
          <w:b w:val="1"/>
          <w:bCs w:val="1"/>
          <w:sz w:val="24"/>
          <w:szCs w:val="24"/>
          <w:rtl w:val="0"/>
        </w:rPr>
        <w:t xml:space="preserve">AGI Misuse as a Case Study</w:t>
      </w:r>
    </w:p>
    <w:p w:rsidR="00000000" w:rsidDel="00000000" w:rsidP="00000000" w:rsidRDefault="00000000" w:rsidRPr="00000000" w14:paraId="00000008">
      <w:pPr>
        <w:pStyle w:val="Heading2"/>
        <w:numPr>
          <w:ilvl w:val="0"/>
          <w:numId w:val="3"/>
        </w:numPr>
        <w:spacing w:after="0" w:before="0" w:line="480" w:lineRule="auto"/>
        <w:ind w:left="1440" w:hanging="360"/>
        <w:rPr>
          <w:rFonts w:ascii="Times New Roman" w:cs="Times New Roman" w:eastAsia="Times New Roman" w:hAnsi="Times New Roman"/>
          <w:sz w:val="24"/>
          <w:szCs w:val="24"/>
        </w:rPr>
      </w:pPr>
      <w:bookmarkStart w:colFirst="0" w:colLast="0" w:name="_72ghhk6zypvu" w:id="2"/>
      <w:bookmarkEnd w:id="2"/>
      <w:r w:rsidDel="00000000" w:rsidR="00000000" w:rsidRPr="00000000">
        <w:rPr>
          <w:rFonts w:ascii="Times New Roman" w:cs="Times New Roman" w:eastAsia="Times New Roman" w:hAnsi="Times New Roman"/>
          <w:sz w:val="24"/>
          <w:szCs w:val="24"/>
          <w:rtl w:val="0"/>
        </w:rPr>
        <w:t xml:space="preserve">A Brief Overview of Artificial General Intelligence and its Risks</w:t>
      </w:r>
    </w:p>
    <w:p w:rsidR="00000000" w:rsidDel="00000000" w:rsidP="00000000" w:rsidRDefault="00000000" w:rsidRPr="00000000" w14:paraId="00000009">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AGI aims to develop systems with human-level cognitive abilities across multiple domains. Unlike "narrow AI," which excels in specialized domains such as medical diagnosis or mathematical problem-solving, AGI aspires to generalize across disciplines, demonstrating autonomous reasoning and problem-solving abilities.</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Large Language Models like GPT-4 are considered potential precursors to AGI, with rapid advancement suggesting AGI could emerge within decades.</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0A">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Despite its promise, AGI raises serious safety concerns. Experts including Geoffrey Hinton and Stephen Hawking have warned of existential risks from AI systems potentially surpassing human control.</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Fonts w:ascii="Times New Roman" w:cs="Times New Roman" w:eastAsia="Times New Roman" w:hAnsi="Times New Roman"/>
          <w:sz w:val="24"/>
          <w:szCs w:val="24"/>
          <w:rtl w:val="0"/>
        </w:rPr>
        <w:t xml:space="preserve"> The "alignment problem" remains unsolved, as AI systems often find unexpected solutions diverging from human intent.</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Fonts w:ascii="Times New Roman" w:cs="Times New Roman" w:eastAsia="Times New Roman" w:hAnsi="Times New Roman"/>
          <w:sz w:val="24"/>
          <w:szCs w:val="24"/>
          <w:rtl w:val="0"/>
        </w:rPr>
        <w:t xml:space="preserve"> Additional concerns include AI-powered disinformation and geopolitical tensions surrounding AI development, particularly between the U.S. and China.</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Fonts w:ascii="Times New Roman" w:cs="Times New Roman" w:eastAsia="Times New Roman" w:hAnsi="Times New Roman"/>
          <w:sz w:val="24"/>
          <w:szCs w:val="24"/>
          <w:vertAlign w:val="superscript"/>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B">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AI capabilities continue to expand, the urgency of developing regulatory, ethical, and security measures to mitigate its risks has become a focal point of global discourse. The challenge of AGI misuse presents an unprecedented test for legal and philosophical frameworks of punishment. AGI crimes threaten human survival, rendering traditional punishment theories inadequate.</w:t>
      </w:r>
      <w:r w:rsidDel="00000000" w:rsidR="00000000" w:rsidRPr="00000000">
        <w:rPr>
          <w:rFonts w:ascii="Times New Roman" w:cs="Times New Roman" w:eastAsia="Times New Roman" w:hAnsi="Times New Roman"/>
          <w:sz w:val="24"/>
          <w:szCs w:val="24"/>
          <w:vertAlign w:val="superscript"/>
        </w:rPr>
        <w:footnoteReference w:customMarkFollows="0" w:id="11"/>
      </w:r>
      <w:r w:rsidDel="00000000" w:rsidR="00000000" w:rsidRPr="00000000">
        <w:rPr>
          <w:rFonts w:ascii="Times New Roman" w:cs="Times New Roman" w:eastAsia="Times New Roman" w:hAnsi="Times New Roman"/>
          <w:sz w:val="24"/>
          <w:szCs w:val="24"/>
          <w:rtl w:val="0"/>
        </w:rPr>
        <w:t xml:space="preserve"> Expanding upon these tensions reveals deeper philosophical and legal challenges in handling AGI-related threats.</w:t>
      </w:r>
    </w:p>
    <w:p w:rsidR="00000000" w:rsidDel="00000000" w:rsidP="00000000" w:rsidRDefault="00000000" w:rsidRPr="00000000" w14:paraId="0000000C">
      <w:pPr>
        <w:pStyle w:val="Heading2"/>
        <w:numPr>
          <w:ilvl w:val="0"/>
          <w:numId w:val="3"/>
        </w:numPr>
        <w:spacing w:after="0" w:before="0" w:line="480" w:lineRule="auto"/>
        <w:ind w:left="1440" w:hanging="360"/>
        <w:rPr>
          <w:rFonts w:ascii="Times New Roman" w:cs="Times New Roman" w:eastAsia="Times New Roman" w:hAnsi="Times New Roman"/>
          <w:sz w:val="24"/>
          <w:szCs w:val="24"/>
        </w:rPr>
      </w:pPr>
      <w:bookmarkStart w:colFirst="0" w:colLast="0" w:name="_m2u3yfl7vkim" w:id="3"/>
      <w:bookmarkEnd w:id="3"/>
      <w:r w:rsidDel="00000000" w:rsidR="00000000" w:rsidRPr="00000000">
        <w:rPr>
          <w:rFonts w:ascii="Times New Roman" w:cs="Times New Roman" w:eastAsia="Times New Roman" w:hAnsi="Times New Roman"/>
          <w:sz w:val="24"/>
          <w:szCs w:val="24"/>
          <w:rtl w:val="0"/>
        </w:rPr>
        <w:t xml:space="preserve">The Disproportionality of Harm in AGI Misuse</w:t>
      </w:r>
    </w:p>
    <w:p w:rsidR="00000000" w:rsidDel="00000000" w:rsidP="00000000" w:rsidRDefault="00000000" w:rsidRPr="00000000" w14:paraId="0000000D">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Traditional punishment frameworks assume crimes occur on a human scale, with harm affecting individuals, communities, or even entire nations. AGI misuse, however, could lead to the extinction of humanity, fundamentally breaking these assumptions. Proportional justice becomes meaningless when the harm transcends all known scales, erasing not only human lives but the possibility of future civilization.</w:t>
      </w:r>
    </w:p>
    <w:p w:rsidR="00000000" w:rsidDel="00000000" w:rsidP="00000000" w:rsidRDefault="00000000" w:rsidRPr="00000000" w14:paraId="0000000E">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Because retributivism demands proportional punishment, it collapses under these conditions.</w:t>
      </w:r>
      <w:r w:rsidDel="00000000" w:rsidR="00000000" w:rsidRPr="00000000">
        <w:rPr>
          <w:rFonts w:ascii="Times New Roman" w:cs="Times New Roman" w:eastAsia="Times New Roman" w:hAnsi="Times New Roman"/>
          <w:sz w:val="24"/>
          <w:szCs w:val="24"/>
          <w:vertAlign w:val="superscript"/>
        </w:rPr>
        <w:footnoteReference w:customMarkFollows="0" w:id="12"/>
      </w:r>
      <w:r w:rsidDel="00000000" w:rsidR="00000000" w:rsidRPr="00000000">
        <w:rPr>
          <w:rFonts w:ascii="Times New Roman" w:cs="Times New Roman" w:eastAsia="Times New Roman" w:hAnsi="Times New Roman"/>
          <w:sz w:val="24"/>
          <w:szCs w:val="24"/>
          <w:rtl w:val="0"/>
        </w:rPr>
        <w:t xml:space="preserve"> If AGI creates a self-propagating catastrophe, there would be no survivors to enforce punishment, rendering post-hoc justice impossible. Moreover, since no penalty could be proportional to global annihilation, the very concept of justice through punishment becomes incoherent. This necessitates a shift from proportional punishment toward preventive deterrence as the primary goal.</w:t>
      </w:r>
    </w:p>
    <w:p w:rsidR="00000000" w:rsidDel="00000000" w:rsidP="00000000" w:rsidRDefault="00000000" w:rsidRPr="00000000" w14:paraId="0000000F">
      <w:pPr>
        <w:pStyle w:val="Heading2"/>
        <w:numPr>
          <w:ilvl w:val="0"/>
          <w:numId w:val="3"/>
        </w:numPr>
        <w:spacing w:after="0" w:before="0" w:line="480" w:lineRule="auto"/>
        <w:ind w:left="1440" w:hanging="360"/>
        <w:rPr>
          <w:rFonts w:ascii="Times New Roman" w:cs="Times New Roman" w:eastAsia="Times New Roman" w:hAnsi="Times New Roman"/>
          <w:sz w:val="24"/>
          <w:szCs w:val="24"/>
        </w:rPr>
      </w:pPr>
      <w:bookmarkStart w:colFirst="0" w:colLast="0" w:name="_mbxhuptrfyc9" w:id="4"/>
      <w:bookmarkEnd w:id="4"/>
      <w:r w:rsidDel="00000000" w:rsidR="00000000" w:rsidRPr="00000000">
        <w:rPr>
          <w:rFonts w:ascii="Times New Roman" w:cs="Times New Roman" w:eastAsia="Times New Roman" w:hAnsi="Times New Roman"/>
          <w:sz w:val="24"/>
          <w:szCs w:val="24"/>
          <w:rtl w:val="0"/>
        </w:rPr>
        <w:t xml:space="preserve">The Temporal Element of AGI Crimes</w:t>
      </w:r>
    </w:p>
    <w:p w:rsidR="00000000" w:rsidDel="00000000" w:rsidP="00000000" w:rsidRDefault="00000000" w:rsidRPr="00000000" w14:paraId="00000010">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unprecedented speed of AGI-driven catastrophes creates another challenge: legal responses may be too slow to matter.</w:t>
      </w:r>
      <w:r w:rsidDel="00000000" w:rsidR="00000000" w:rsidRPr="00000000">
        <w:rPr>
          <w:rFonts w:ascii="Times New Roman" w:cs="Times New Roman" w:eastAsia="Times New Roman" w:hAnsi="Times New Roman"/>
          <w:sz w:val="24"/>
          <w:szCs w:val="24"/>
          <w:rtl w:val="0"/>
        </w:rPr>
        <w:t xml:space="preserve"> Unlike traditional crimes, which allow time for investigation, trial, and punishment, AGI misuse may occur at machine-speed, leaving no opportunity for a post-crime response. In conventional criminal law, punishment may serve a range of functions from correcting past behavior to deterring future misconduct. However, these functions rely on a sequence of events where harm can be assessed and addressed after the fact. AGI, however, introduces the possibility of instantaneous global consequences, where the interval between the initial act and its devastating impact is so short that traditional punitive responses become meaningless.</w:t>
      </w:r>
    </w:p>
    <w:p w:rsidR="00000000" w:rsidDel="00000000" w:rsidP="00000000" w:rsidRDefault="00000000" w:rsidRPr="00000000" w14:paraId="00000011">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example, an autonomous AGI could rapidly take control of critical infrastructure, global financial markets, or military systems, escalating from misalignment to catastrophe in seconds. If an AGI system is capable of self-improvement and strategic deception, it may become uncontrollable before humans even realize the danger. The assumption of time between crime and punishment, which is fundamental to retributive justice, does not hold when consequences materialize instantly. This temporal compression forces a paradigm shift away from post-hoc justice and toward proactive deterrence, regulation, and enforcement before AGI reaches a dangerous capability level.</w:t>
      </w:r>
    </w:p>
    <w:p w:rsidR="00000000" w:rsidDel="00000000" w:rsidP="00000000" w:rsidRDefault="00000000" w:rsidRPr="00000000" w14:paraId="00000012">
      <w:pPr>
        <w:pStyle w:val="Heading2"/>
        <w:numPr>
          <w:ilvl w:val="0"/>
          <w:numId w:val="3"/>
        </w:numPr>
        <w:spacing w:after="0" w:before="0" w:line="480" w:lineRule="auto"/>
        <w:ind w:left="1440" w:hanging="360"/>
        <w:rPr>
          <w:rFonts w:ascii="Times New Roman" w:cs="Times New Roman" w:eastAsia="Times New Roman" w:hAnsi="Times New Roman"/>
          <w:sz w:val="24"/>
          <w:szCs w:val="24"/>
        </w:rPr>
      </w:pPr>
      <w:bookmarkStart w:colFirst="0" w:colLast="0" w:name="_dhhixvhkmn8p" w:id="5"/>
      <w:bookmarkEnd w:id="5"/>
      <w:r w:rsidDel="00000000" w:rsidR="00000000" w:rsidRPr="00000000">
        <w:rPr>
          <w:rFonts w:ascii="Times New Roman" w:cs="Times New Roman" w:eastAsia="Times New Roman" w:hAnsi="Times New Roman"/>
          <w:sz w:val="24"/>
          <w:szCs w:val="24"/>
          <w:rtl w:val="0"/>
        </w:rPr>
        <w:t xml:space="preserve">The Complexity of Moral and Legal Responsibility</w:t>
      </w:r>
    </w:p>
    <w:p w:rsidR="00000000" w:rsidDel="00000000" w:rsidP="00000000" w:rsidRDefault="00000000" w:rsidRPr="00000000" w14:paraId="00000013">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AGI-related crimes complicate legal responsibility by diffusing accountability across multiple actors. If an autonomous system triggers a catastrophe, blame cannot be assigned to a single individual. The programmer, corporate executives, and policymakers all contribute, but no existing framework adequately addresses collective liability for emergent AI behavior.</w:t>
      </w:r>
    </w:p>
    <w:p w:rsidR="00000000" w:rsidDel="00000000" w:rsidP="00000000" w:rsidRDefault="00000000" w:rsidRPr="00000000" w14:paraId="00000014">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Rather than relying on retributive measures, deterrence must take precedence. Preemptive regulations, industry-wide enforcement, and strict penalties for reckless development are essential to ensuring AI risks are mitigated before harm occurs. The focus must shift from punishing bad actors to preventing dangerous decisions altogether.</w:t>
      </w:r>
    </w:p>
    <w:p w:rsidR="00000000" w:rsidDel="00000000" w:rsidP="00000000" w:rsidRDefault="00000000" w:rsidRPr="00000000" w14:paraId="00000015">
      <w:pPr>
        <w:numPr>
          <w:ilvl w:val="0"/>
          <w:numId w:val="3"/>
        </w:numPr>
        <w:spacing w:after="0" w:before="0" w:line="48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Traditional Punishment Theories Fail for AGI Crimes</w:t>
      </w:r>
    </w:p>
    <w:p w:rsidR="00000000" w:rsidDel="00000000" w:rsidP="00000000" w:rsidRDefault="00000000" w:rsidRPr="00000000" w14:paraId="00000016">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Retributivism becomes strained with AGI crimes: if AGI destroys civilization, no society remains to enforce justice. Additionally, retributive theories rely on individual culpability, yet AGI development involves large organizations and emergent behaviors no single person controls. Finally, proportionality becomes impossible—no punishment could match the moral weight of an existential catastrophe, rendering retributivism morally incoherent for such magnitudes.</w:t>
      </w:r>
    </w:p>
    <w:p w:rsidR="00000000" w:rsidDel="00000000" w:rsidP="00000000" w:rsidRDefault="00000000" w:rsidRPr="00000000" w14:paraId="00000017">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Expressivism frames punishment as moral condemnation that reinforces social norms.</w:t>
      </w:r>
      <w:r w:rsidDel="00000000" w:rsidR="00000000" w:rsidRPr="00000000">
        <w:rPr>
          <w:rFonts w:ascii="Times New Roman" w:cs="Times New Roman" w:eastAsia="Times New Roman" w:hAnsi="Times New Roman"/>
          <w:sz w:val="24"/>
          <w:szCs w:val="24"/>
          <w:vertAlign w:val="superscript"/>
        </w:rPr>
        <w:footnoteReference w:customMarkFollows="0" w:id="13"/>
      </w:r>
      <w:r w:rsidDel="00000000" w:rsidR="00000000" w:rsidRPr="00000000">
        <w:rPr>
          <w:rFonts w:ascii="Times New Roman" w:cs="Times New Roman" w:eastAsia="Times New Roman" w:hAnsi="Times New Roman"/>
          <w:sz w:val="24"/>
          <w:szCs w:val="24"/>
          <w:rtl w:val="0"/>
        </w:rPr>
        <w:t xml:space="preserve"> While one could argue this sends a message to future AI researchers, expressivism faces two problems with AGI crimes: first, extinction leaves no audience for the message; second, even in non-extinction cases, expressivism merely responds to harm rather than preventing it—a critical distinction for irreversible catastrophes.</w:t>
      </w:r>
    </w:p>
    <w:p w:rsidR="00000000" w:rsidDel="00000000" w:rsidP="00000000" w:rsidRDefault="00000000" w:rsidRPr="00000000" w14:paraId="00000018">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Rehabilitation theory also fails with AGI-related crimes. The potentially instantaneous and irreversible nature of AGI damage means that "reforming" offenders becomes meaningless when consequences are irreversible and society itself is fundamentally altered or destroyed. Additionally, identifying the actual offender to be punished will prove challenging.</w:t>
      </w:r>
    </w:p>
    <w:p w:rsidR="00000000" w:rsidDel="00000000" w:rsidP="00000000" w:rsidRDefault="00000000" w:rsidRPr="00000000" w14:paraId="00000019">
      <w:pPr>
        <w:pStyle w:val="Heading2"/>
        <w:numPr>
          <w:ilvl w:val="0"/>
          <w:numId w:val="3"/>
        </w:numPr>
        <w:spacing w:after="0" w:before="0" w:line="480" w:lineRule="auto"/>
        <w:ind w:left="1440" w:hanging="360"/>
        <w:rPr>
          <w:rFonts w:ascii="Times New Roman" w:cs="Times New Roman" w:eastAsia="Times New Roman" w:hAnsi="Times New Roman"/>
          <w:sz w:val="24"/>
          <w:szCs w:val="24"/>
        </w:rPr>
      </w:pPr>
      <w:bookmarkStart w:colFirst="0" w:colLast="0" w:name="_talvesdu41lf" w:id="6"/>
      <w:bookmarkEnd w:id="6"/>
      <w:r w:rsidDel="00000000" w:rsidR="00000000" w:rsidRPr="00000000">
        <w:rPr>
          <w:rFonts w:ascii="Times New Roman" w:cs="Times New Roman" w:eastAsia="Times New Roman" w:hAnsi="Times New Roman"/>
          <w:sz w:val="24"/>
          <w:szCs w:val="24"/>
          <w:rtl w:val="0"/>
        </w:rPr>
        <w:t xml:space="preserve">The Strength of Deterrence Theory</w:t>
      </w:r>
    </w:p>
    <w:p w:rsidR="00000000" w:rsidDel="00000000" w:rsidP="00000000" w:rsidRDefault="00000000" w:rsidRPr="00000000" w14:paraId="0000001A">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Deterrence is most relevant to AGI crimes because it prioritizes prevention over punishment.</w:t>
      </w:r>
      <w:r w:rsidDel="00000000" w:rsidR="00000000" w:rsidRPr="00000000">
        <w:rPr>
          <w:rFonts w:ascii="Times New Roman" w:cs="Times New Roman" w:eastAsia="Times New Roman" w:hAnsi="Times New Roman"/>
          <w:sz w:val="24"/>
          <w:szCs w:val="24"/>
          <w:rtl w:val="0"/>
        </w:rPr>
        <w:t xml:space="preserve"> Unlike retributive or expressivist theories, deterrence is forward-looking, aiming to create credible threats of punishment that discourage reckless AGI development. If existential threats need preemptive legal frameworks, then deterrence-based governance strategies, such as strict liability laws, regulatory oversight, and international enforcement mechanisms, must be implemented before AGI reaches dangerous levels.</w:t>
      </w:r>
      <w:r w:rsidDel="00000000" w:rsidR="00000000" w:rsidRPr="00000000">
        <w:rPr>
          <w:rtl w:val="0"/>
        </w:rPr>
      </w:r>
    </w:p>
    <w:p w:rsidR="00000000" w:rsidDel="00000000" w:rsidP="00000000" w:rsidRDefault="00000000" w:rsidRPr="00000000" w14:paraId="0000001B">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5471quswcz08" w:id="7"/>
      <w:bookmarkEnd w:id="7"/>
      <w:r w:rsidDel="00000000" w:rsidR="00000000" w:rsidRPr="00000000">
        <w:rPr>
          <w:rFonts w:ascii="Times New Roman" w:cs="Times New Roman" w:eastAsia="Times New Roman" w:hAnsi="Times New Roman"/>
          <w:b w:val="1"/>
          <w:bCs w:val="1"/>
          <w:sz w:val="24"/>
          <w:szCs w:val="24"/>
          <w:rtl w:val="0"/>
        </w:rPr>
        <w:t xml:space="preserve">Other Extreme Cases</w:t>
      </w:r>
    </w:p>
    <w:p w:rsidR="00000000" w:rsidDel="00000000" w:rsidP="00000000" w:rsidRDefault="00000000" w:rsidRPr="00000000" w14:paraId="0000001C">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insights gained from analyzing AGI misuse can be tested and refined by considering other categories of extreme crimes, such as nuclear terrorism, biological weapons, and environmental crimes capable of triggering catastrophic climate change. Each of these crimes shares certain structural similarities with AGI misuse, such as potentially global consequences, the irreversibility of harm, and the challenges of assigning moral and legal responsibility. However, each also presents unique obstacles that require further refinement of punishment theories. By examining these cases, we can explore how different punishment frameworks function at the extreme end of the crime spectrum and whether they remain philosophically and practically viable.</w:t>
      </w:r>
    </w:p>
    <w:p w:rsidR="00000000" w:rsidDel="00000000" w:rsidP="00000000" w:rsidRDefault="00000000" w:rsidRPr="00000000" w14:paraId="0000001D">
      <w:pPr>
        <w:pStyle w:val="Heading2"/>
        <w:numPr>
          <w:ilvl w:val="0"/>
          <w:numId w:val="2"/>
        </w:numPr>
        <w:spacing w:after="0" w:before="0" w:line="480" w:lineRule="auto"/>
        <w:ind w:left="720" w:hanging="360"/>
        <w:rPr>
          <w:rFonts w:ascii="Times New Roman" w:cs="Times New Roman" w:eastAsia="Times New Roman" w:hAnsi="Times New Roman"/>
          <w:sz w:val="24"/>
          <w:szCs w:val="24"/>
        </w:rPr>
      </w:pPr>
      <w:bookmarkStart w:colFirst="0" w:colLast="0" w:name="_tsc23uy1w7ag" w:id="8"/>
      <w:bookmarkEnd w:id="8"/>
      <w:r w:rsidDel="00000000" w:rsidR="00000000" w:rsidRPr="00000000">
        <w:rPr>
          <w:rFonts w:ascii="Times New Roman" w:cs="Times New Roman" w:eastAsia="Times New Roman" w:hAnsi="Times New Roman"/>
          <w:sz w:val="24"/>
          <w:szCs w:val="24"/>
          <w:rtl w:val="0"/>
        </w:rPr>
        <w:t xml:space="preserve">The Challenges of Punishing Nuclear Terrorism</w:t>
      </w:r>
    </w:p>
    <w:p w:rsidR="00000000" w:rsidDel="00000000" w:rsidP="00000000" w:rsidRDefault="00000000" w:rsidRPr="00000000" w14:paraId="0000001E">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Nuclear terrorism provides a highly instructive comparison to AGI misuse, as both involve the potential for near-instantaneous and catastrophic destruction. A nuclear detonation in a major city would kill millions, destabilize global security, and trigger cascading geopolitical consequences. In this sense, nuclear terrorism resembles AGI misuse in its ability to cause immediate, irreversible harm, making retributive justice, rehabilitation, and expressivism difficult to apply.</w:t>
      </w:r>
    </w:p>
    <w:p w:rsidR="00000000" w:rsidDel="00000000" w:rsidP="00000000" w:rsidRDefault="00000000" w:rsidRPr="00000000" w14:paraId="0000001F">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nuclear terrorism differs in its technological accessibility and control mechanisms. Unlike AGI development, which requires long-term research, computational infrastructure, and significant funding, nuclear materials could be acquired by smaller groups or even individuals. This distinction has major implications for deterrence. Unlike AGI misuse, which requires state and corporate regulation, nuclear terrorism demands a broader security apparatus, including: 1) intelligence gathering to prevent illicit acquisition of nuclear materials, 2) strict enforcement of international treaties like the Nuclear Non-Proliferation Treaty, and 3) preemptive targeting of terrorist networks and state sponsors of nuclear proliferation.</w:t>
      </w:r>
    </w:p>
    <w:p w:rsidR="00000000" w:rsidDel="00000000" w:rsidP="00000000" w:rsidRDefault="00000000" w:rsidRPr="00000000" w14:paraId="00000020">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Like AGI misuse, nuclear terrorism renders retributivism irrelevant—no survivors remain to enforce justice. Even in non-extinction scenarios, the scale of destruction raises the question of whether any punishment could ever be proportional to the crime. If a terrorist detonates a nuclear device, killing 10 million people, no practical form of punishment could restore balance. Life imprisonment or even the death penalty fails to capture the magnitude of the harm caused, once again demonstrating the inadequacy of traditional retributivist approaches.</w:t>
      </w:r>
    </w:p>
    <w:p w:rsidR="00000000" w:rsidDel="00000000" w:rsidP="00000000" w:rsidRDefault="00000000" w:rsidRPr="00000000" w14:paraId="00000021">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Similarly, expressivist punishment struggles with the scale of destruction. While nuclear terrorism might leave some survivors who could symbolically condemn the act, the destruction of key institutions and global governance structures might render any expressive function of punishment meaningless. In extreme cases, the message of moral condemnation may never reach an audience, making expressivist punishment largely ineffective.</w:t>
      </w:r>
    </w:p>
    <w:p w:rsidR="00000000" w:rsidDel="00000000" w:rsidP="00000000" w:rsidRDefault="00000000" w:rsidRPr="00000000" w14:paraId="00000022">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Deterrence, however, retains strong applicability. The success of nuclear deterrence strategies, such as mutually assured destruction and the strict regulation of nuclear materials, demonstrates that credible threats of punishment can significantly reduce risk. The lessons learned from nuclear deterrence could inform AGI governance, particularly through international enforcement agreements, preemptive legal restrictions, and severe penalties for reckless development.</w:t>
      </w:r>
    </w:p>
    <w:p w:rsidR="00000000" w:rsidDel="00000000" w:rsidP="00000000" w:rsidRDefault="00000000" w:rsidRPr="00000000" w14:paraId="00000023">
      <w:pPr>
        <w:pStyle w:val="Heading2"/>
        <w:numPr>
          <w:ilvl w:val="0"/>
          <w:numId w:val="2"/>
        </w:numPr>
        <w:spacing w:after="0" w:before="0" w:line="480" w:lineRule="auto"/>
        <w:ind w:left="720" w:hanging="360"/>
        <w:rPr>
          <w:rFonts w:ascii="Times New Roman" w:cs="Times New Roman" w:eastAsia="Times New Roman" w:hAnsi="Times New Roman"/>
          <w:sz w:val="24"/>
          <w:szCs w:val="24"/>
        </w:rPr>
      </w:pPr>
      <w:bookmarkStart w:colFirst="0" w:colLast="0" w:name="_qxwnrhd145ua" w:id="9"/>
      <w:bookmarkEnd w:id="9"/>
      <w:r w:rsidDel="00000000" w:rsidR="00000000" w:rsidRPr="00000000">
        <w:rPr>
          <w:rFonts w:ascii="Times New Roman" w:cs="Times New Roman" w:eastAsia="Times New Roman" w:hAnsi="Times New Roman"/>
          <w:sz w:val="24"/>
          <w:szCs w:val="24"/>
          <w:rtl w:val="0"/>
        </w:rPr>
        <w:t xml:space="preserve">Biological Terrorism and the Ethics of Punishing Unintended Consequences</w:t>
      </w:r>
    </w:p>
    <w:p w:rsidR="00000000" w:rsidDel="00000000" w:rsidP="00000000" w:rsidRDefault="00000000" w:rsidRPr="00000000" w14:paraId="00000024">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Biological terrorism presents another instructive case for testing punishment theories, as its potential for global catastrophe closely parallels AGI risks. Unlike AGI, which remains within computational constraints, a highly contagious bioweapon could spread uncontrollably, evolving in ways even its creators could not anticipate. This raises unique challenges for legal and ethical responsibility, particularly when perpetrators may not have intended the full scope of harm. Traditional criminal law distinguishes between intentional and negligent acts, but when the consequences are existential, this distinction loses significance. Retributivism struggles in such cases—if a biological attack leads to total devastation, there is no society left to administer justice, and even in non-extinction scenarios, no punishment could be truly proportional to the scale of harm inflicted.</w:t>
      </w:r>
    </w:p>
    <w:p w:rsidR="00000000" w:rsidDel="00000000" w:rsidP="00000000" w:rsidRDefault="00000000" w:rsidRPr="00000000" w14:paraId="00000025">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Expressivism also falters when applied to biological terrorism. While symbolic condemnation remains possible, the intangible nature of pathogens makes public outrage less immediate compared to a nuclear explosion or violent act. If expressive punishment depends on collective moral response, its impact is weakened when the crime unfolds gradually and invisibly. Rehabilitation is equally ineffective. If a scientist deliberately engineers a deadly virus or negligently facilitates its release, reforming the individual does nothing to undo the harm or prevent others from replicating their actions. Rehabilitation is only relevant after a crime has occurred, but existential threats require preemptive action.</w:t>
      </w:r>
    </w:p>
    <w:p w:rsidR="00000000" w:rsidDel="00000000" w:rsidP="00000000" w:rsidRDefault="00000000" w:rsidRPr="00000000" w14:paraId="00000026">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Deterrence, by contrast, remains the most effective framework. Given the irreversible damage biological terrorism could cause, prevention is paramount. Strict global bans, severe criminal penalties, and intelligence monitoring can deter potential offenders before they act. While enforcement is challenging—particularly as biological technologies become more accessible—deterrence offers the best chance of mitigating risk by making bioweapon development legally and practically unfeasible. As with AGI misuse, deterrence is the only approach that directly addresses the existential stakes of biological terrorism.</w:t>
      </w:r>
    </w:p>
    <w:p w:rsidR="00000000" w:rsidDel="00000000" w:rsidP="00000000" w:rsidRDefault="00000000" w:rsidRPr="00000000" w14:paraId="00000027">
      <w:pPr>
        <w:pStyle w:val="Heading2"/>
        <w:numPr>
          <w:ilvl w:val="0"/>
          <w:numId w:val="2"/>
        </w:numPr>
        <w:spacing w:after="0" w:before="0" w:line="480" w:lineRule="auto"/>
        <w:ind w:left="720" w:hanging="360"/>
        <w:rPr>
          <w:rFonts w:ascii="Times New Roman" w:cs="Times New Roman" w:eastAsia="Times New Roman" w:hAnsi="Times New Roman"/>
          <w:sz w:val="24"/>
          <w:szCs w:val="24"/>
        </w:rPr>
      </w:pPr>
      <w:bookmarkStart w:colFirst="0" w:colLast="0" w:name="_oguiykr15g72" w:id="10"/>
      <w:bookmarkEnd w:id="10"/>
      <w:r w:rsidDel="00000000" w:rsidR="00000000" w:rsidRPr="00000000">
        <w:rPr>
          <w:rFonts w:ascii="Times New Roman" w:cs="Times New Roman" w:eastAsia="Times New Roman" w:hAnsi="Times New Roman"/>
          <w:sz w:val="24"/>
          <w:szCs w:val="24"/>
          <w:rtl w:val="0"/>
        </w:rPr>
        <w:t xml:space="preserve">Climate Crimes and the Problem of Intergenerational Punishment</w:t>
      </w:r>
    </w:p>
    <w:p w:rsidR="00000000" w:rsidDel="00000000" w:rsidP="00000000" w:rsidRDefault="00000000" w:rsidRPr="00000000" w14:paraId="0000002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Unlike AGI misuse, nuclear terrorism, or biological attacks, which could cause near-instantaneous destruction, climate crimes unfold over decades or even centuries. Sabotaging emissions reductions, deforestation, and pollution cause irreversible damage that could lead to mass suffering or extinction.</w:t>
      </w:r>
    </w:p>
    <w:p w:rsidR="00000000" w:rsidDel="00000000" w:rsidP="00000000" w:rsidRDefault="00000000" w:rsidRPr="00000000" w14:paraId="00000029">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of the biggest challenges in punishing climate crimes is their temporal structure. Unlike traditional crimes, which directly harm present victims, climate crimes affect future generations. This raises a fundamental question in punishment theory: can justice be served when the victims do not yet exist? If an oil executive today knowingly engages in fraudulent practices that accelerate climate change, leading to massive environmental collapse 100 years from now, how can punishment be meaningfully applied?</w:t>
      </w:r>
    </w:p>
    <w:p w:rsidR="00000000" w:rsidDel="00000000" w:rsidP="00000000" w:rsidRDefault="00000000" w:rsidRPr="00000000" w14:paraId="0000002A">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Retributive justice struggles with time discounting—the tendency to value present actions more than future consequences.</w:t>
      </w:r>
      <w:r w:rsidDel="00000000" w:rsidR="00000000" w:rsidRPr="00000000">
        <w:rPr>
          <w:rFonts w:ascii="Times New Roman" w:cs="Times New Roman" w:eastAsia="Times New Roman" w:hAnsi="Times New Roman"/>
          <w:sz w:val="24"/>
          <w:szCs w:val="24"/>
          <w:vertAlign w:val="superscript"/>
        </w:rPr>
        <w:footnoteReference w:customMarkFollows="0" w:id="14"/>
      </w:r>
      <w:r w:rsidDel="00000000" w:rsidR="00000000" w:rsidRPr="00000000">
        <w:rPr>
          <w:rFonts w:ascii="Times New Roman" w:cs="Times New Roman" w:eastAsia="Times New Roman" w:hAnsi="Times New Roman"/>
          <w:sz w:val="24"/>
          <w:szCs w:val="24"/>
          <w:rtl w:val="0"/>
        </w:rPr>
        <w:t xml:space="preserve"> If courts attempt to punish climate criminals today for harm that will occur long after their deaths, can punishment truly be meaningful? This dilemma weakens traditional legal approaches, as retributivist frameworks typically assume a clear, immediate connection between crime and punishment.</w:t>
      </w:r>
    </w:p>
    <w:p w:rsidR="00000000" w:rsidDel="00000000" w:rsidP="00000000" w:rsidRDefault="00000000" w:rsidRPr="00000000" w14:paraId="0000002B">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Expressivism faces its own temporal challenge. While punishing climate criminals today might serve as a moral statement to future generations, those affected by the most severe consequences may never witness the punishment. Unlike nuclear terrorism, where survivors can acknowledge and process punishment, climate crimes present a scenario where justice may be symbolically enacted too late to serve its purpose.</w:t>
      </w:r>
    </w:p>
    <w:p w:rsidR="00000000" w:rsidDel="00000000" w:rsidP="00000000" w:rsidRDefault="00000000" w:rsidRPr="00000000" w14:paraId="0000002C">
      <w:pPr>
        <w:spacing w:after="0" w:before="0" w:line="480" w:lineRule="auto"/>
        <w:ind w:firstLine="72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Deterrence once again emerges as the strongest framework for climate crimes. The best way to prevent catastrophic environmental destruction is through strong international agreements, corporate liability laws, and punitive economic measures that disincentivize reckless actions. Similar to nuclear non-proliferation regimes, climate policies must emphasize preventative governance, as reactive punishment may be ineffective when dealing with multi-generational harm.</w:t>
      </w:r>
      <w:r w:rsidDel="00000000" w:rsidR="00000000" w:rsidRPr="00000000">
        <w:rPr>
          <w:rtl w:val="0"/>
        </w:rPr>
      </w:r>
    </w:p>
    <w:p w:rsidR="00000000" w:rsidDel="00000000" w:rsidP="00000000" w:rsidRDefault="00000000" w:rsidRPr="00000000" w14:paraId="0000002D">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ama137i5u4zo" w:id="11"/>
      <w:bookmarkEnd w:id="11"/>
      <w:r w:rsidDel="00000000" w:rsidR="00000000" w:rsidRPr="00000000">
        <w:rPr>
          <w:rFonts w:ascii="Times New Roman" w:cs="Times New Roman" w:eastAsia="Times New Roman" w:hAnsi="Times New Roman"/>
          <w:b w:val="1"/>
          <w:bCs w:val="1"/>
          <w:sz w:val="24"/>
          <w:szCs w:val="24"/>
          <w:rtl w:val="0"/>
        </w:rPr>
        <w:t xml:space="preserve">An Argument Against Deterrence Theory</w:t>
      </w:r>
    </w:p>
    <w:p w:rsidR="00000000" w:rsidDel="00000000" w:rsidP="00000000" w:rsidRDefault="00000000" w:rsidRPr="00000000" w14:paraId="0000002E">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critique of deterrence theory in the context of catastrophic risks was raised by Richard Posner in his book, “Catastrophe: Risk and Response.” He noted, that especially for bioterrorism risks, “It is not only that terrorists are secretive as to plans and capabilities, but also that they—or at least the ones that have vague and encompassing aims—have such a wide range of potential means and targets to choose among and, if suicidal, cannot be deterred.”</w:t>
      </w:r>
      <w:r w:rsidDel="00000000" w:rsidR="00000000" w:rsidRPr="00000000">
        <w:rPr>
          <w:rFonts w:ascii="Times New Roman" w:cs="Times New Roman" w:eastAsia="Times New Roman" w:hAnsi="Times New Roman"/>
          <w:sz w:val="24"/>
          <w:szCs w:val="24"/>
          <w:vertAlign w:val="superscript"/>
        </w:rPr>
        <w:footnoteReference w:customMarkFollows="0" w:id="15"/>
      </w:r>
      <w:r w:rsidDel="00000000" w:rsidR="00000000" w:rsidRPr="00000000">
        <w:rPr>
          <w:rFonts w:ascii="Times New Roman" w:cs="Times New Roman" w:eastAsia="Times New Roman" w:hAnsi="Times New Roman"/>
          <w:sz w:val="24"/>
          <w:szCs w:val="24"/>
          <w:rtl w:val="0"/>
        </w:rPr>
        <w:t xml:space="preserve"> In other words, i</w:t>
      </w:r>
      <w:r w:rsidDel="00000000" w:rsidR="00000000" w:rsidRPr="00000000">
        <w:rPr>
          <w:rFonts w:ascii="Times New Roman" w:cs="Times New Roman" w:eastAsia="Times New Roman" w:hAnsi="Times New Roman"/>
          <w:sz w:val="24"/>
          <w:szCs w:val="24"/>
          <w:rtl w:val="0"/>
        </w:rPr>
        <w:t xml:space="preserve">f an attacker is willing to die in pursuit of their goal, how can any threat of punishment deter them?</w:t>
      </w:r>
    </w:p>
    <w:p w:rsidR="00000000" w:rsidDel="00000000" w:rsidP="00000000" w:rsidRDefault="00000000" w:rsidRPr="00000000" w14:paraId="0000002F">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this critique highlights real challenges, it does not invalidate deterrence theory as the best framework for punishment, particularly when compared to retributivism, rehabilitation, and expressivism. The most effective deterrence strategies for existential risks involve a shift from traditional punishment after a crime has occurred to preventive deterrence—making it more difficult, costly, or infeasible to carry out an attack in the first place. The history of nuclear non-proliferation provides an instructive example. While the deterrent effect of mutually assured destruction has prevented state actors from deploying nuclear weapons, non-state actors such as terrorist organizations are deterred primarily through strict international controls on nuclear materials, intelligence monitoring, and legal penalties for those who facilitate nuclear proliferation. A similar framework can be applied to bioterrorism by targeting networks, suppliers, and financiers rather than solely focusing on individual perpetrators. Even if certain terrorists are undeterrable, states, institutions, and black-market actors that provide biological materials or funding can be deterred through legal enforcement, economic sanctions, and intelligence operations.</w:t>
      </w:r>
    </w:p>
    <w:p w:rsidR="00000000" w:rsidDel="00000000" w:rsidP="00000000" w:rsidRDefault="00000000" w:rsidRPr="00000000" w14:paraId="00000030">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comparing punishment theories for extreme crimes, deterrence emerges as the only viable option. Retributivism fails because no punishment can be proportionate to catastrophic harm like mass casualties from bioterrorism, and dead terrorists cannot be punished at all. Rehabilitation becomes meaningless if society itself is destroyed. Expressivism collapses when there's no surviving audience to receive the moral message, and symbolic punishment rarely dissuades determined actors like suicidal terrorists or rogue AI developers.</w:t>
      </w:r>
    </w:p>
    <w:p w:rsidR="00000000" w:rsidDel="00000000" w:rsidP="00000000" w:rsidRDefault="00000000" w:rsidRPr="00000000" w14:paraId="00000031">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Policy makers may promote effective deterrence for catastrophic risks by expanding liability beyond individuals to include states, organizations, and financiers. Economic sanctions against countries harboring terrorists and technological monitoring of dangerous research provide structural prevention mechanisms that don't rely on individual rationality.</w:t>
      </w:r>
    </w:p>
    <w:p w:rsidR="00000000" w:rsidDel="00000000" w:rsidP="00000000" w:rsidRDefault="00000000" w:rsidRPr="00000000" w14:paraId="00000032">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Despite its limitations, deterrence offers the most practical framework for preventing existential threats. While individual extremists may seem undeterrable, a comprehensive approach focusing on preemptive measures, supply chain control, and international enforcement presents the best strategy for reducing catastrophic risks. The alternatives—retributivism, rehabilitation, and expressivism—offer no meaningful solutions for existential crimes.</w:t>
      </w:r>
    </w:p>
    <w:p w:rsidR="00000000" w:rsidDel="00000000" w:rsidP="00000000" w:rsidRDefault="00000000" w:rsidRPr="00000000" w14:paraId="00000033">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cavnv5x1xi3q" w:id="12"/>
      <w:bookmarkEnd w:id="12"/>
      <w:r w:rsidDel="00000000" w:rsidR="00000000" w:rsidRPr="00000000">
        <w:rPr>
          <w:rFonts w:ascii="Times New Roman" w:cs="Times New Roman" w:eastAsia="Times New Roman" w:hAnsi="Times New Roman"/>
          <w:b w:val="1"/>
          <w:bCs w:val="1"/>
          <w:sz w:val="24"/>
          <w:szCs w:val="24"/>
          <w:rtl w:val="0"/>
        </w:rPr>
        <w:t xml:space="preserve">Implications for Punishment Theory</w:t>
      </w:r>
    </w:p>
    <w:p w:rsidR="00000000" w:rsidDel="00000000" w:rsidP="00000000" w:rsidRDefault="00000000" w:rsidRPr="00000000" w14:paraId="00000034">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its core, any system of punishment assumes that society does not want crime to occur. If we were indifferent to crime, there would be no reason to punish it at all. This fundamental assumption—that minimizing crime is a desirable goal—should guide how we approach punishment. Among all punishment theories, deterrence is the only framework explicitly designed to prevent crime before it happens, making it the most aligned with the fundamental purpose of punishment. While other theories focus on justice after the fact, deterrence is future-oriented, ensuring that crime does not happen in the first place.</w:t>
      </w:r>
    </w:p>
    <w:p w:rsidR="00000000" w:rsidDel="00000000" w:rsidP="00000000" w:rsidRDefault="00000000" w:rsidRPr="00000000" w14:paraId="00000035">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crime prevention is the primary reason for punishment, then the best punishment system should be judged by its ability to prevent crime. Retributivism, which focuses on giving offenders what they deserve, does nothing to stop crime before it happens. Rehabilitation seeks to prevent repeat offenses by reforming criminals, but this only applies after a crime has already occurred and does not prevent first-time offenses. Expressivism, which aims to reinforce moral norms, lacks a concrete mechanism to prevent crime; simply condemning an act does not ensure that individuals will refrain from committing it. In contrast, deterrence directly reduces the number of crimes committed by influencing potential offenders' cost-benefit calculations, making it the most pragmatic theory.</w:t>
      </w:r>
    </w:p>
    <w:p w:rsidR="00000000" w:rsidDel="00000000" w:rsidP="00000000" w:rsidRDefault="00000000" w:rsidRPr="00000000" w14:paraId="00000036">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Moreover, if deterrence remains the only functional framework for punishment in extreme cases, such as existential threats posed by nuclear terrorism or AGI misuse, then it stands to reason that it should also be the dominant theory for less extreme crimes. When applied to existential threats, expressivism fails because there would be no society left to receive its moral message, rehabilitation is useless because there would be no offender left to reform, and retributivism is meaningless because no punishment could be proportional to the destruction of humanity. If deterrence is the only theory that holds up under the highest stakes, it follows that it is even more effective in cases where rational actors respond predictably to legal incentives.</w:t>
      </w:r>
    </w:p>
    <w:p w:rsidR="00000000" w:rsidDel="00000000" w:rsidP="00000000" w:rsidRDefault="00000000" w:rsidRPr="00000000" w14:paraId="00000037">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Deterrence also has the advantage of incorporating the strengths of other theories while avoiding their weaknesses. Expressivism contributes to shaping social norms, but deterrence achieves this while also providing an immediate crime-reducing effect. Rehabilitation has value, but it should be secondary to deterrence, as it applies only after a crime has already occurred. Retributivism can serve a purpose in maintaining proportionality, but without deterrence, punishment risks becoming an act of vengeance rather than a tool for reducing harm. Ultimately, deterrence absorbs the benefits of these theories while ensuring that crime prevention remains the highest priority.</w:t>
      </w:r>
    </w:p>
    <w:p w:rsidR="00000000" w:rsidDel="00000000" w:rsidP="00000000" w:rsidRDefault="00000000" w:rsidRPr="00000000" w14:paraId="0000003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Additionally, deterrence is the most scalable and adaptable punishment theory. For minor crimes, deterrence ensures accountability through light but consistent penalties such as fines or community service. For serious crimes, stricter sentencing provides strong disincentives for harmful behavior. For existential threats, deterrence expands beyond individual punishment to include preemptive measures such as monitoring and restricting access to dangerous technology. Other punishment theories lack this flexibility—retributivism is rigid and backward-looking, rehabilitation only applies after harm has already been done, and expressivism is too indirect to provide an immediate reduction in crime.</w:t>
      </w:r>
    </w:p>
    <w:p w:rsidR="00000000" w:rsidDel="00000000" w:rsidP="00000000" w:rsidRDefault="00000000" w:rsidRPr="00000000" w14:paraId="00000039">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Punishment exists because society values reducing crime, and deterrence is the only theory that directly aligns with this goal. It remains the only viable framework in extreme cases and is more flexible, scalable, and outcome-driven than any alternative. While expressivism, rehabilitation, and retributivism contain useful moral insights, they all fail when judged by the most important criterion: preventing crime. Because deterrence is necessary for extreme cases, it should also serve as the foundation for all cases, making it the strongest and most justifiable theory of punishment.</w:t>
      </w:r>
      <w:r w:rsidDel="00000000" w:rsidR="00000000" w:rsidRPr="00000000">
        <w:rPr>
          <w:rtl w:val="0"/>
        </w:rPr>
      </w:r>
    </w:p>
    <w:p w:rsidR="00000000" w:rsidDel="00000000" w:rsidP="00000000" w:rsidRDefault="00000000" w:rsidRPr="00000000" w14:paraId="0000003A">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nsydn81tbpi3" w:id="13"/>
      <w:bookmarkEnd w:id="13"/>
      <w:r w:rsidDel="00000000" w:rsidR="00000000" w:rsidRPr="00000000">
        <w:rPr>
          <w:rFonts w:ascii="Times New Roman" w:cs="Times New Roman" w:eastAsia="Times New Roman" w:hAnsi="Times New Roman"/>
          <w:b w:val="1"/>
          <w:bCs w:val="1"/>
          <w:sz w:val="24"/>
          <w:szCs w:val="24"/>
          <w:rtl w:val="0"/>
        </w:rPr>
        <w:t xml:space="preserve">Conclusion</w:t>
      </w:r>
    </w:p>
    <w:p w:rsidR="00000000" w:rsidDel="00000000" w:rsidP="00000000" w:rsidRDefault="00000000" w:rsidRPr="00000000" w14:paraId="0000003B">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paper demonstrates the limitations of traditional punishment theories when applied to existential threats. Retributivism collapses under its own weight, as no punishment can be proportionate to global catastrophe, and post hoc punishment is meaningless when there is no one to punish. Expressivism fails when there is no surviving audience to receive its moral condemnation, and rehabilitation becomes meaningless when there is no society left to reintegrate offenders. In contrast, deterrence theory not only remains viable but emerges as the most effective framework for addressing crimes of this scale. Its forward-looking approach aligns with the fundamental goal of punishment: preventing crime before it occurs. By prioritizing deterrence, legal systems can shift from reactive punishment to proactive risk management, ensuring that existential threats are neutralized before they materialize.</w:t>
      </w:r>
    </w:p>
    <w:p w:rsidR="00000000" w:rsidDel="00000000" w:rsidP="00000000" w:rsidRDefault="00000000" w:rsidRPr="00000000" w14:paraId="0000003C">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same reasoning that justifies deterrence as the superior approach to extreme crimes also supports its broader application to general criminal justice. If deterrence is the only theory that functions under the highest stakes, it follows that it should serve as the foundation for punishment in less extreme cases as well. Unlike other theories, deterrence directly engages with the core assumption that crime is undesirable and should be minimized. It is adaptable, scalable, and pragmatic—ensuring accountability for minor offenses while providing strong disincentives for major crimes. As society continues to grapple with rapid technological advancements and emerging threats, deterrence offers the most coherent, effective, and universally applicable approach to punishment, reinforcing its position as the optimal theory of justice in both ordinary and extraordinary contexts.</w:t>
      </w:r>
    </w:p>
    <w:sectPr>
      <w:headerReference r:id="rId7" w:type="default"/>
      <w:headerReference r:id="rId8" w:type="first"/>
      <w:footerReference r:id="rId9" w:type="default"/>
      <w:footerReference r:id="rId10"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11">
    <w:p w:rsidR="00000000" w:rsidDel="00000000" w:rsidP="00000000" w:rsidRDefault="00000000" w:rsidRPr="00000000" w14:paraId="0000004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Federico. 2024. “Risk and Artificial General Intelligence.” </w:t>
      </w:r>
      <w:r w:rsidDel="00000000" w:rsidR="00000000" w:rsidRPr="00000000">
        <w:rPr>
          <w:rFonts w:ascii="Times New Roman" w:cs="Times New Roman" w:eastAsia="Times New Roman" w:hAnsi="Times New Roman"/>
          <w:i w:val="1"/>
          <w:iCs w:val="1"/>
          <w:sz w:val="20"/>
          <w:szCs w:val="20"/>
          <w:rtl w:val="0"/>
        </w:rPr>
        <w:t xml:space="preserve">AI &amp; Society</w:t>
      </w:r>
      <w:r w:rsidDel="00000000" w:rsidR="00000000" w:rsidRPr="00000000">
        <w:rPr>
          <w:rFonts w:ascii="Times New Roman" w:cs="Times New Roman" w:eastAsia="Times New Roman" w:hAnsi="Times New Roman"/>
          <w:sz w:val="20"/>
          <w:szCs w:val="20"/>
          <w:rtl w:val="0"/>
        </w:rPr>
        <w:t xml:space="preserve">, July. </w:t>
      </w:r>
      <w:hyperlink r:id="rId1">
        <w:r w:rsidDel="00000000" w:rsidR="00000000" w:rsidRPr="00000000">
          <w:rPr>
            <w:rFonts w:ascii="Times New Roman" w:cs="Times New Roman" w:eastAsia="Times New Roman" w:hAnsi="Times New Roman"/>
            <w:color w:val="1155cc"/>
            <w:sz w:val="20"/>
            <w:szCs w:val="20"/>
            <w:u w:val="single"/>
            <w:rtl w:val="0"/>
          </w:rPr>
          <w:t xml:space="preserve">https://doi.org/10.1007/s00146-024-02004-z</w:t>
        </w:r>
      </w:hyperlink>
      <w:r w:rsidDel="00000000" w:rsidR="00000000" w:rsidRPr="00000000">
        <w:rPr>
          <w:rFonts w:ascii="Times New Roman" w:cs="Times New Roman" w:eastAsia="Times New Roman" w:hAnsi="Times New Roman"/>
          <w:sz w:val="20"/>
          <w:szCs w:val="20"/>
          <w:rtl w:val="0"/>
        </w:rPr>
        <w:t xml:space="preserve">. </w:t>
      </w:r>
    </w:p>
  </w:footnote>
  <w:footnote w:id="5">
    <w:p w:rsidR="00000000" w:rsidDel="00000000" w:rsidP="00000000" w:rsidRDefault="00000000" w:rsidRPr="00000000" w14:paraId="0000004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Goertzel, Ben, and Cassio Pennachin. </w:t>
      </w:r>
      <w:r w:rsidDel="00000000" w:rsidR="00000000" w:rsidRPr="00000000">
        <w:rPr>
          <w:rFonts w:ascii="Times New Roman" w:cs="Times New Roman" w:eastAsia="Times New Roman" w:hAnsi="Times New Roman"/>
          <w:i w:val="1"/>
          <w:iCs w:val="1"/>
          <w:sz w:val="20"/>
          <w:szCs w:val="20"/>
          <w:rtl w:val="0"/>
        </w:rPr>
        <w:t xml:space="preserve">Artificial General Intelligence</w:t>
      </w:r>
      <w:r w:rsidDel="00000000" w:rsidR="00000000" w:rsidRPr="00000000">
        <w:rPr>
          <w:rFonts w:ascii="Times New Roman" w:cs="Times New Roman" w:eastAsia="Times New Roman" w:hAnsi="Times New Roman"/>
          <w:sz w:val="20"/>
          <w:szCs w:val="20"/>
          <w:rtl w:val="0"/>
        </w:rPr>
        <w:t xml:space="preserve">. Berlin: Springer, 2007. (</w:t>
      </w:r>
      <w:hyperlink r:id="rId2">
        <w:r w:rsidDel="00000000" w:rsidR="00000000" w:rsidRPr="00000000">
          <w:rPr>
            <w:rFonts w:ascii="Times New Roman" w:cs="Times New Roman" w:eastAsia="Times New Roman" w:hAnsi="Times New Roman"/>
            <w:color w:val="1155cc"/>
            <w:sz w:val="20"/>
            <w:szCs w:val="20"/>
            <w:u w:val="single"/>
            <w:rtl w:val="0"/>
          </w:rPr>
          <w:t xml:space="preserve">https://link-springer-com.proxy.uchicago.edu/book/10.1007/978-3-540-68677-4</w:t>
        </w:r>
      </w:hyperlink>
      <w:r w:rsidDel="00000000" w:rsidR="00000000" w:rsidRPr="00000000">
        <w:rPr>
          <w:rFonts w:ascii="Times New Roman" w:cs="Times New Roman" w:eastAsia="Times New Roman" w:hAnsi="Times New Roman"/>
          <w:sz w:val="20"/>
          <w:szCs w:val="20"/>
          <w:rtl w:val="0"/>
        </w:rPr>
        <w:t xml:space="preserve">) </w:t>
      </w:r>
    </w:p>
  </w:footnote>
  <w:footnote w:id="6">
    <w:p w:rsidR="00000000" w:rsidDel="00000000" w:rsidP="00000000" w:rsidRDefault="00000000" w:rsidRPr="00000000" w14:paraId="0000004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Bubeck, Sébastien, Varun Chandrasekaran, Ronen Eldan, Johannes Gehrke, Eric Horvitz, Ece Kamar, Peter Lee, et al. 2023. “Sparks of Artificial General Intelligence: Early Experiments with GPT-4.” </w:t>
      </w:r>
      <w:r w:rsidDel="00000000" w:rsidR="00000000" w:rsidRPr="00000000">
        <w:rPr>
          <w:rFonts w:ascii="Times New Roman" w:cs="Times New Roman" w:eastAsia="Times New Roman" w:hAnsi="Times New Roman"/>
          <w:i w:val="1"/>
          <w:iCs w:val="1"/>
          <w:sz w:val="20"/>
          <w:szCs w:val="20"/>
          <w:rtl w:val="0"/>
        </w:rPr>
        <w:t xml:space="preserve">ArXiv (Cornell University) </w:t>
      </w:r>
      <w:r w:rsidDel="00000000" w:rsidR="00000000" w:rsidRPr="00000000">
        <w:rPr>
          <w:rFonts w:ascii="Times New Roman" w:cs="Times New Roman" w:eastAsia="Times New Roman" w:hAnsi="Times New Roman"/>
          <w:sz w:val="20"/>
          <w:szCs w:val="20"/>
          <w:rtl w:val="0"/>
        </w:rPr>
        <w:t xml:space="preserve">5 (March). </w:t>
      </w:r>
      <w:hyperlink r:id="rId3">
        <w:r w:rsidDel="00000000" w:rsidR="00000000" w:rsidRPr="00000000">
          <w:rPr>
            <w:rFonts w:ascii="Times New Roman" w:cs="Times New Roman" w:eastAsia="Times New Roman" w:hAnsi="Times New Roman"/>
            <w:color w:val="1155cc"/>
            <w:sz w:val="20"/>
            <w:szCs w:val="20"/>
            <w:u w:val="single"/>
            <w:rtl w:val="0"/>
          </w:rPr>
          <w:t xml:space="preserve">https://doi.org/10.48550/arxiv.2303.12712</w:t>
        </w:r>
      </w:hyperlink>
      <w:r w:rsidDel="00000000" w:rsidR="00000000" w:rsidRPr="00000000">
        <w:rPr>
          <w:rFonts w:ascii="Times New Roman" w:cs="Times New Roman" w:eastAsia="Times New Roman" w:hAnsi="Times New Roman"/>
          <w:sz w:val="20"/>
          <w:szCs w:val="20"/>
          <w:rtl w:val="0"/>
        </w:rPr>
        <w:t xml:space="preserve">.</w:t>
      </w:r>
    </w:p>
  </w:footnote>
  <w:footnote w:id="7">
    <w:p w:rsidR="00000000" w:rsidDel="00000000" w:rsidP="00000000" w:rsidRDefault="00000000" w:rsidRPr="00000000" w14:paraId="0000004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Hawking, Stephen, Stuart Russell, Max Tegmark, and Frank Wilczek. 2014. “Stephen Hawking: 'Are We Taking Artificial Intelligence Seriously.” The Independent. May 1, 2014. </w:t>
      </w:r>
      <w:hyperlink r:id="rId4">
        <w:r w:rsidDel="00000000" w:rsidR="00000000" w:rsidRPr="00000000">
          <w:rPr>
            <w:rFonts w:ascii="Times New Roman" w:cs="Times New Roman" w:eastAsia="Times New Roman" w:hAnsi="Times New Roman"/>
            <w:color w:val="1155cc"/>
            <w:sz w:val="20"/>
            <w:szCs w:val="20"/>
            <w:u w:val="single"/>
            <w:rtl w:val="0"/>
          </w:rPr>
          <w:t xml:space="preserve">https://www.independent.co.uk/news/science/stephen-hawking-transcendence-looks-at-the-implications-of-artificial-intelligence-but-are-we-taking-ai-seriously-enough-9313474.html</w:t>
        </w:r>
      </w:hyperlink>
      <w:r w:rsidDel="00000000" w:rsidR="00000000" w:rsidRPr="00000000">
        <w:rPr>
          <w:rFonts w:ascii="Times New Roman" w:cs="Times New Roman" w:eastAsia="Times New Roman" w:hAnsi="Times New Roman"/>
          <w:sz w:val="20"/>
          <w:szCs w:val="20"/>
          <w:rtl w:val="0"/>
        </w:rPr>
        <w:t xml:space="preserve">; Brown, Sara. 2023. “Why Neural Net Pioneer Geoffrey Hinton Is Sounding the Alarm on AI | MIT Sloan.” Mitsloan.mit.edu. June 15, 2023. </w:t>
      </w:r>
      <w:hyperlink r:id="rId5">
        <w:r w:rsidDel="00000000" w:rsidR="00000000" w:rsidRPr="00000000">
          <w:rPr>
            <w:rFonts w:ascii="Times New Roman" w:cs="Times New Roman" w:eastAsia="Times New Roman" w:hAnsi="Times New Roman"/>
            <w:color w:val="1155cc"/>
            <w:sz w:val="20"/>
            <w:szCs w:val="20"/>
            <w:u w:val="single"/>
            <w:rtl w:val="0"/>
          </w:rPr>
          <w:t xml:space="preserve">https://mitsloan.mit.edu/ideas-made-to-matter/why-neural-net-pioneer-geoffrey-hinton-sounding-alarm-ai</w:t>
        </w:r>
      </w:hyperlink>
      <w:r w:rsidDel="00000000" w:rsidR="00000000" w:rsidRPr="00000000">
        <w:rPr>
          <w:rFonts w:ascii="Times New Roman" w:cs="Times New Roman" w:eastAsia="Times New Roman" w:hAnsi="Times New Roman"/>
          <w:sz w:val="20"/>
          <w:szCs w:val="20"/>
          <w:rtl w:val="0"/>
        </w:rPr>
        <w:t xml:space="preserve">. </w:t>
      </w:r>
    </w:p>
  </w:footnote>
  <w:footnote w:id="8">
    <w:p w:rsidR="00000000" w:rsidDel="00000000" w:rsidP="00000000" w:rsidRDefault="00000000" w:rsidRPr="00000000" w14:paraId="0000004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Martineau, Kim. 2021. “What Is AI Alignment?” IBM Research Blog. February 9, 2021. </w:t>
      </w:r>
      <w:hyperlink r:id="rId6">
        <w:r w:rsidDel="00000000" w:rsidR="00000000" w:rsidRPr="00000000">
          <w:rPr>
            <w:rFonts w:ascii="Times New Roman" w:cs="Times New Roman" w:eastAsia="Times New Roman" w:hAnsi="Times New Roman"/>
            <w:color w:val="1155cc"/>
            <w:sz w:val="20"/>
            <w:szCs w:val="20"/>
            <w:u w:val="single"/>
            <w:rtl w:val="0"/>
          </w:rPr>
          <w:t xml:space="preserve">https://research.ibm.com/blog/what-is-alignment-ai</w:t>
        </w:r>
      </w:hyperlink>
      <w:r w:rsidDel="00000000" w:rsidR="00000000" w:rsidRPr="00000000">
        <w:rPr>
          <w:rFonts w:ascii="Times New Roman" w:cs="Times New Roman" w:eastAsia="Times New Roman" w:hAnsi="Times New Roman"/>
          <w:sz w:val="20"/>
          <w:szCs w:val="20"/>
          <w:rtl w:val="0"/>
        </w:rPr>
        <w:t xml:space="preserve">. </w:t>
      </w:r>
    </w:p>
  </w:footnote>
  <w:footnote w:id="10">
    <w:p w:rsidR="00000000" w:rsidDel="00000000" w:rsidP="00000000" w:rsidRDefault="00000000" w:rsidRPr="00000000" w14:paraId="0000004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Reuters Staff. 2024. “China Sets up AI Standards Committee as Global Tech Race Intensifies.” </w:t>
      </w:r>
      <w:r w:rsidDel="00000000" w:rsidR="00000000" w:rsidRPr="00000000">
        <w:rPr>
          <w:rFonts w:ascii="Times New Roman" w:cs="Times New Roman" w:eastAsia="Times New Roman" w:hAnsi="Times New Roman"/>
          <w:i w:val="1"/>
          <w:iCs w:val="1"/>
          <w:sz w:val="20"/>
          <w:szCs w:val="20"/>
          <w:rtl w:val="0"/>
        </w:rPr>
        <w:t xml:space="preserve">Reuters</w:t>
      </w:r>
      <w:r w:rsidDel="00000000" w:rsidR="00000000" w:rsidRPr="00000000">
        <w:rPr>
          <w:rFonts w:ascii="Times New Roman" w:cs="Times New Roman" w:eastAsia="Times New Roman" w:hAnsi="Times New Roman"/>
          <w:sz w:val="20"/>
          <w:szCs w:val="20"/>
          <w:rtl w:val="0"/>
        </w:rPr>
        <w:t xml:space="preserve">, December 13, 2024. </w:t>
      </w:r>
      <w:hyperlink r:id="rId7">
        <w:r w:rsidDel="00000000" w:rsidR="00000000" w:rsidRPr="00000000">
          <w:rPr>
            <w:rFonts w:ascii="Times New Roman" w:cs="Times New Roman" w:eastAsia="Times New Roman" w:hAnsi="Times New Roman"/>
            <w:color w:val="1155cc"/>
            <w:sz w:val="20"/>
            <w:szCs w:val="20"/>
            <w:u w:val="single"/>
            <w:rtl w:val="0"/>
          </w:rPr>
          <w:t xml:space="preserve">https://www.reuters.com/technology/china-sets-up-ai-standards-committee-global-tech-race-intensifies-2024-12-13/</w:t>
        </w:r>
      </w:hyperlink>
      <w:r w:rsidDel="00000000" w:rsidR="00000000" w:rsidRPr="00000000">
        <w:rPr>
          <w:rFonts w:ascii="Times New Roman" w:cs="Times New Roman" w:eastAsia="Times New Roman" w:hAnsi="Times New Roman"/>
          <w:sz w:val="20"/>
          <w:szCs w:val="20"/>
          <w:rtl w:val="0"/>
        </w:rPr>
        <w:t xml:space="preserve">. </w:t>
      </w:r>
    </w:p>
  </w:footnote>
  <w:footnote w:id="9">
    <w:p w:rsidR="00000000" w:rsidDel="00000000" w:rsidP="00000000" w:rsidRDefault="00000000" w:rsidRPr="00000000" w14:paraId="0000004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Köbis, Nils C., Barbora Doležalová, and Ivan Soraperra. 2021. “Fooled Twice - People Cannot Detect Deepfakes but Think They Can.” </w:t>
      </w:r>
      <w:r w:rsidDel="00000000" w:rsidR="00000000" w:rsidRPr="00000000">
        <w:rPr>
          <w:rFonts w:ascii="Times New Roman" w:cs="Times New Roman" w:eastAsia="Times New Roman" w:hAnsi="Times New Roman"/>
          <w:i w:val="1"/>
          <w:iCs w:val="1"/>
          <w:sz w:val="20"/>
          <w:szCs w:val="20"/>
          <w:rtl w:val="0"/>
        </w:rPr>
        <w:t xml:space="preserve">IScience</w:t>
      </w:r>
      <w:r w:rsidDel="00000000" w:rsidR="00000000" w:rsidRPr="00000000">
        <w:rPr>
          <w:rFonts w:ascii="Times New Roman" w:cs="Times New Roman" w:eastAsia="Times New Roman" w:hAnsi="Times New Roman"/>
          <w:sz w:val="20"/>
          <w:szCs w:val="20"/>
          <w:rtl w:val="0"/>
        </w:rPr>
        <w:t xml:space="preserve"> 24 (11): 103364. </w:t>
      </w:r>
      <w:hyperlink r:id="rId8">
        <w:r w:rsidDel="00000000" w:rsidR="00000000" w:rsidRPr="00000000">
          <w:rPr>
            <w:rFonts w:ascii="Times New Roman" w:cs="Times New Roman" w:eastAsia="Times New Roman" w:hAnsi="Times New Roman"/>
            <w:color w:val="1155cc"/>
            <w:sz w:val="20"/>
            <w:szCs w:val="20"/>
            <w:u w:val="single"/>
            <w:rtl w:val="0"/>
          </w:rPr>
          <w:t xml:space="preserve">https://doi.org/10.1016/j.isci.2021.103364</w:t>
        </w:r>
      </w:hyperlink>
      <w:r w:rsidDel="00000000" w:rsidR="00000000" w:rsidRPr="00000000">
        <w:rPr>
          <w:rFonts w:ascii="Times New Roman" w:cs="Times New Roman" w:eastAsia="Times New Roman" w:hAnsi="Times New Roman"/>
          <w:sz w:val="20"/>
          <w:szCs w:val="20"/>
          <w:rtl w:val="0"/>
        </w:rPr>
        <w:t xml:space="preserve">; Mace, Nancy. 2023. “Mace: Deepfake Technology Can Be Weaponized to Cause Harm.” United States House Committee on Oversight and Accountability. November 20, 2023. </w:t>
      </w:r>
      <w:hyperlink r:id="rId9">
        <w:r w:rsidDel="00000000" w:rsidR="00000000" w:rsidRPr="00000000">
          <w:rPr>
            <w:rFonts w:ascii="Times New Roman" w:cs="Times New Roman" w:eastAsia="Times New Roman" w:hAnsi="Times New Roman"/>
            <w:color w:val="1155cc"/>
            <w:sz w:val="20"/>
            <w:szCs w:val="20"/>
            <w:u w:val="single"/>
            <w:rtl w:val="0"/>
          </w:rPr>
          <w:t xml:space="preserve">https://oversight.house.gov/release/mace-deepfakes-pose-real-dangers/</w:t>
        </w:r>
      </w:hyperlink>
      <w:r w:rsidDel="00000000" w:rsidR="00000000" w:rsidRPr="00000000">
        <w:rPr>
          <w:rFonts w:ascii="Times New Roman" w:cs="Times New Roman" w:eastAsia="Times New Roman" w:hAnsi="Times New Roman"/>
          <w:sz w:val="20"/>
          <w:szCs w:val="20"/>
          <w:rtl w:val="0"/>
        </w:rPr>
        <w:t xml:space="preserve">. </w:t>
      </w:r>
    </w:p>
  </w:footnote>
  <w:footnote w:id="13">
    <w:p w:rsidR="00000000" w:rsidDel="00000000" w:rsidP="00000000" w:rsidRDefault="00000000" w:rsidRPr="00000000" w14:paraId="0000004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Glasgow, Joshua, “The Expressivist Theory of Punishment Defended,” </w:t>
      </w:r>
      <w:r w:rsidDel="00000000" w:rsidR="00000000" w:rsidRPr="00000000">
        <w:rPr>
          <w:rFonts w:ascii="Times New Roman" w:cs="Times New Roman" w:eastAsia="Times New Roman" w:hAnsi="Times New Roman"/>
          <w:i w:val="1"/>
          <w:iCs w:val="1"/>
          <w:sz w:val="20"/>
          <w:szCs w:val="20"/>
          <w:rtl w:val="0"/>
        </w:rPr>
        <w:t xml:space="preserve">Law and Philosophy </w:t>
      </w:r>
      <w:r w:rsidDel="00000000" w:rsidR="00000000" w:rsidRPr="00000000">
        <w:rPr>
          <w:rFonts w:ascii="Times New Roman" w:cs="Times New Roman" w:eastAsia="Times New Roman" w:hAnsi="Times New Roman"/>
          <w:sz w:val="20"/>
          <w:szCs w:val="20"/>
          <w:rtl w:val="0"/>
        </w:rPr>
        <w:t xml:space="preserve">34, no. 6 (2015): 601–31. </w:t>
      </w:r>
      <w:hyperlink r:id="rId10">
        <w:r w:rsidDel="00000000" w:rsidR="00000000" w:rsidRPr="00000000">
          <w:rPr>
            <w:rFonts w:ascii="Times New Roman" w:cs="Times New Roman" w:eastAsia="Times New Roman" w:hAnsi="Times New Roman"/>
            <w:color w:val="1155cc"/>
            <w:sz w:val="20"/>
            <w:szCs w:val="20"/>
            <w:u w:val="single"/>
            <w:rtl w:val="0"/>
          </w:rPr>
          <w:t xml:space="preserve">http://www.jstor.org/stable/24572388</w:t>
        </w:r>
      </w:hyperlink>
      <w:r w:rsidDel="00000000" w:rsidR="00000000" w:rsidRPr="00000000">
        <w:rPr>
          <w:rFonts w:ascii="Times New Roman" w:cs="Times New Roman" w:eastAsia="Times New Roman" w:hAnsi="Times New Roman"/>
          <w:sz w:val="20"/>
          <w:szCs w:val="20"/>
          <w:rtl w:val="0"/>
        </w:rPr>
        <w:t xml:space="preserve">. </w:t>
      </w:r>
    </w:p>
  </w:footnote>
  <w:footnote w:id="15">
    <w:p w:rsidR="00000000" w:rsidDel="00000000" w:rsidP="00000000" w:rsidRDefault="00000000" w:rsidRPr="00000000" w14:paraId="0000004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Posner, Richard A, 'How to evaluate the catastrophic risks and the possible responses to them', Catastrophe: Risk and Response (NY, 2004; online edn, Oxford Academic, 12 Nov. 2020), </w:t>
      </w:r>
      <w:hyperlink r:id="rId11">
        <w:r w:rsidDel="00000000" w:rsidR="00000000" w:rsidRPr="00000000">
          <w:rPr>
            <w:rFonts w:ascii="Times New Roman" w:cs="Times New Roman" w:eastAsia="Times New Roman" w:hAnsi="Times New Roman"/>
            <w:color w:val="1155cc"/>
            <w:sz w:val="20"/>
            <w:szCs w:val="20"/>
            <w:u w:val="single"/>
            <w:rtl w:val="0"/>
          </w:rPr>
          <w:t xml:space="preserve">https://doi.org/10.1093/oso/9780195178135.003.0006</w:t>
        </w:r>
      </w:hyperlink>
      <w:r w:rsidDel="00000000" w:rsidR="00000000" w:rsidRPr="00000000">
        <w:rPr>
          <w:rFonts w:ascii="Times New Roman" w:cs="Times New Roman" w:eastAsia="Times New Roman" w:hAnsi="Times New Roman"/>
          <w:sz w:val="20"/>
          <w:szCs w:val="20"/>
          <w:rtl w:val="0"/>
        </w:rPr>
        <w:t xml:space="preserve">, accessed 27 Feb. 2025. </w:t>
      </w:r>
    </w:p>
  </w:footnote>
  <w:footnote w:id="14">
    <w:p w:rsidR="00000000" w:rsidDel="00000000" w:rsidP="00000000" w:rsidRDefault="00000000" w:rsidRPr="00000000" w14:paraId="0000004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Frederick, Shane, George Loewenstein, and Ted O’donoghue, 2002, “Time Discounting and Time Preference: A Critical Review,” </w:t>
      </w:r>
      <w:r w:rsidDel="00000000" w:rsidR="00000000" w:rsidRPr="00000000">
        <w:rPr>
          <w:rFonts w:ascii="Times New Roman" w:cs="Times New Roman" w:eastAsia="Times New Roman" w:hAnsi="Times New Roman"/>
          <w:i w:val="1"/>
          <w:iCs w:val="1"/>
          <w:sz w:val="20"/>
          <w:szCs w:val="20"/>
          <w:rtl w:val="0"/>
        </w:rPr>
        <w:t xml:space="preserve">Journal of Economic Literature</w:t>
      </w:r>
      <w:r w:rsidDel="00000000" w:rsidR="00000000" w:rsidRPr="00000000">
        <w:rPr>
          <w:rFonts w:ascii="Times New Roman" w:cs="Times New Roman" w:eastAsia="Times New Roman" w:hAnsi="Times New Roman"/>
          <w:sz w:val="20"/>
          <w:szCs w:val="20"/>
          <w:rtl w:val="0"/>
        </w:rPr>
        <w:t xml:space="preserve"> 40 (2): 351–401. </w:t>
      </w:r>
      <w:hyperlink r:id="rId12">
        <w:r w:rsidDel="00000000" w:rsidR="00000000" w:rsidRPr="00000000">
          <w:rPr>
            <w:rFonts w:ascii="Times New Roman" w:cs="Times New Roman" w:eastAsia="Times New Roman" w:hAnsi="Times New Roman"/>
            <w:color w:val="1155cc"/>
            <w:sz w:val="20"/>
            <w:szCs w:val="20"/>
            <w:u w:val="single"/>
            <w:rtl w:val="0"/>
          </w:rPr>
          <w:t xml:space="preserve">https://doi.org/10.1257/jel.40.2.351</w:t>
        </w:r>
      </w:hyperlink>
      <w:r w:rsidDel="00000000" w:rsidR="00000000" w:rsidRPr="00000000">
        <w:rPr>
          <w:rFonts w:ascii="Times New Roman" w:cs="Times New Roman" w:eastAsia="Times New Roman" w:hAnsi="Times New Roman"/>
          <w:sz w:val="20"/>
          <w:szCs w:val="20"/>
          <w:rtl w:val="0"/>
        </w:rPr>
        <w:t xml:space="preserve">. </w:t>
      </w:r>
    </w:p>
  </w:footnote>
  <w:footnote w:id="0">
    <w:p w:rsidR="00000000" w:rsidDel="00000000" w:rsidP="00000000" w:rsidRDefault="00000000" w:rsidRPr="00000000" w14:paraId="0000004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Internet Crime Complaint Center. 2023. Review of </w:t>
      </w:r>
      <w:r w:rsidDel="00000000" w:rsidR="00000000" w:rsidRPr="00000000">
        <w:rPr>
          <w:rFonts w:ascii="Times New Roman" w:cs="Times New Roman" w:eastAsia="Times New Roman" w:hAnsi="Times New Roman"/>
          <w:i w:val="1"/>
          <w:iCs w:val="1"/>
          <w:sz w:val="20"/>
          <w:szCs w:val="20"/>
          <w:rtl w:val="0"/>
        </w:rPr>
        <w:t xml:space="preserve">Federal Bureau of Investigation Internet Crime Report 2023</w:t>
      </w:r>
      <w:r w:rsidDel="00000000" w:rsidR="00000000" w:rsidRPr="00000000">
        <w:rPr>
          <w:rFonts w:ascii="Times New Roman" w:cs="Times New Roman" w:eastAsia="Times New Roman" w:hAnsi="Times New Roman"/>
          <w:sz w:val="20"/>
          <w:szCs w:val="20"/>
          <w:rtl w:val="0"/>
        </w:rPr>
        <w:t xml:space="preserve">.$12.5 billion in losses reported to the Internet Crime Complaint Center of the FBI in 2023. </w:t>
      </w:r>
    </w:p>
  </w:footnote>
  <w:footnote w:id="1">
    <w:p w:rsidR="00000000" w:rsidDel="00000000" w:rsidP="00000000" w:rsidRDefault="00000000" w:rsidRPr="00000000" w14:paraId="0000004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Card, Claudia, 2003, “Genocide and Social Death,” </w:t>
      </w:r>
      <w:r w:rsidDel="00000000" w:rsidR="00000000" w:rsidRPr="00000000">
        <w:rPr>
          <w:rFonts w:ascii="Times New Roman" w:cs="Times New Roman" w:eastAsia="Times New Roman" w:hAnsi="Times New Roman"/>
          <w:i w:val="1"/>
          <w:iCs w:val="1"/>
          <w:sz w:val="20"/>
          <w:szCs w:val="20"/>
          <w:rtl w:val="0"/>
        </w:rPr>
        <w:t xml:space="preserve">Hypatia</w:t>
      </w:r>
      <w:r w:rsidDel="00000000" w:rsidR="00000000" w:rsidRPr="00000000">
        <w:rPr>
          <w:rFonts w:ascii="Times New Roman" w:cs="Times New Roman" w:eastAsia="Times New Roman" w:hAnsi="Times New Roman"/>
          <w:sz w:val="20"/>
          <w:szCs w:val="20"/>
          <w:rtl w:val="0"/>
        </w:rPr>
        <w:t xml:space="preserve"> 18 (1): 63–79, </w:t>
      </w:r>
      <w:hyperlink r:id="rId13">
        <w:r w:rsidDel="00000000" w:rsidR="00000000" w:rsidRPr="00000000">
          <w:rPr>
            <w:rFonts w:ascii="Times New Roman" w:cs="Times New Roman" w:eastAsia="Times New Roman" w:hAnsi="Times New Roman"/>
            <w:color w:val="1155cc"/>
            <w:sz w:val="20"/>
            <w:szCs w:val="20"/>
            <w:u w:val="single"/>
            <w:rtl w:val="0"/>
          </w:rPr>
          <w:t xml:space="preserve">https://doi.org/10.1111/j.1527-2001.2003.tb00779.x</w:t>
        </w:r>
      </w:hyperlink>
      <w:r w:rsidDel="00000000" w:rsidR="00000000" w:rsidRPr="00000000">
        <w:rPr>
          <w:rFonts w:ascii="Times New Roman" w:cs="Times New Roman" w:eastAsia="Times New Roman" w:hAnsi="Times New Roman"/>
          <w:sz w:val="20"/>
          <w:szCs w:val="20"/>
          <w:rtl w:val="0"/>
        </w:rPr>
        <w:t xml:space="preserve">. </w:t>
      </w:r>
    </w:p>
  </w:footnote>
  <w:footnote w:id="2">
    <w:p w:rsidR="00000000" w:rsidDel="00000000" w:rsidP="00000000" w:rsidRDefault="00000000" w:rsidRPr="00000000" w14:paraId="0000005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Bostrom, Nick. 2013. “Existential Risk Prevention as Global Priority.” </w:t>
      </w:r>
      <w:r w:rsidDel="00000000" w:rsidR="00000000" w:rsidRPr="00000000">
        <w:rPr>
          <w:rFonts w:ascii="Times New Roman" w:cs="Times New Roman" w:eastAsia="Times New Roman" w:hAnsi="Times New Roman"/>
          <w:i w:val="1"/>
          <w:iCs w:val="1"/>
          <w:sz w:val="20"/>
          <w:szCs w:val="20"/>
          <w:rtl w:val="0"/>
        </w:rPr>
        <w:t xml:space="preserve">Global Policy</w:t>
      </w:r>
      <w:r w:rsidDel="00000000" w:rsidR="00000000" w:rsidRPr="00000000">
        <w:rPr>
          <w:rFonts w:ascii="Times New Roman" w:cs="Times New Roman" w:eastAsia="Times New Roman" w:hAnsi="Times New Roman"/>
          <w:sz w:val="20"/>
          <w:szCs w:val="20"/>
          <w:rtl w:val="0"/>
        </w:rPr>
        <w:t xml:space="preserve"> 4 (1): 15–31. </w:t>
      </w:r>
      <w:hyperlink r:id="rId14">
        <w:r w:rsidDel="00000000" w:rsidR="00000000" w:rsidRPr="00000000">
          <w:rPr>
            <w:rFonts w:ascii="Times New Roman" w:cs="Times New Roman" w:eastAsia="Times New Roman" w:hAnsi="Times New Roman"/>
            <w:color w:val="1155cc"/>
            <w:sz w:val="20"/>
            <w:szCs w:val="20"/>
            <w:u w:val="single"/>
            <w:rtl w:val="0"/>
          </w:rPr>
          <w:t xml:space="preserve">https://doi.org/10.1111/1758-5899.12002</w:t>
        </w:r>
      </w:hyperlink>
      <w:r w:rsidDel="00000000" w:rsidR="00000000" w:rsidRPr="00000000">
        <w:rPr>
          <w:rFonts w:ascii="Times New Roman" w:cs="Times New Roman" w:eastAsia="Times New Roman" w:hAnsi="Times New Roman"/>
          <w:sz w:val="20"/>
          <w:szCs w:val="20"/>
          <w:rtl w:val="0"/>
        </w:rPr>
        <w:t xml:space="preserve">. </w:t>
      </w:r>
    </w:p>
  </w:footnote>
  <w:footnote w:id="3">
    <w:p w:rsidR="00000000" w:rsidDel="00000000" w:rsidP="00000000" w:rsidRDefault="00000000" w:rsidRPr="00000000" w14:paraId="0000005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Taddeo, M., Blanchard, A. Accepting Moral Responsibility for the Actions of Autonomous Weapons Systems—a Moral Gambit. </w:t>
      </w:r>
      <w:r w:rsidDel="00000000" w:rsidR="00000000" w:rsidRPr="00000000">
        <w:rPr>
          <w:rFonts w:ascii="Times New Roman" w:cs="Times New Roman" w:eastAsia="Times New Roman" w:hAnsi="Times New Roman"/>
          <w:i w:val="1"/>
          <w:iCs w:val="1"/>
          <w:sz w:val="20"/>
          <w:szCs w:val="20"/>
          <w:rtl w:val="0"/>
        </w:rPr>
        <w:t xml:space="preserve">Philos. Technol.</w:t>
      </w:r>
      <w:r w:rsidDel="00000000" w:rsidR="00000000" w:rsidRPr="00000000">
        <w:rPr>
          <w:rFonts w:ascii="Times New Roman" w:cs="Times New Roman" w:eastAsia="Times New Roman" w:hAnsi="Times New Roman"/>
          <w:sz w:val="20"/>
          <w:szCs w:val="20"/>
          <w:rtl w:val="0"/>
        </w:rPr>
        <w:t xml:space="preserve"> 35, 78 (2022). </w:t>
      </w:r>
      <w:hyperlink r:id="rId15">
        <w:r w:rsidDel="00000000" w:rsidR="00000000" w:rsidRPr="00000000">
          <w:rPr>
            <w:rFonts w:ascii="Times New Roman" w:cs="Times New Roman" w:eastAsia="Times New Roman" w:hAnsi="Times New Roman"/>
            <w:color w:val="1155cc"/>
            <w:sz w:val="20"/>
            <w:szCs w:val="20"/>
            <w:u w:val="single"/>
            <w:rtl w:val="0"/>
          </w:rPr>
          <w:t xml:space="preserve">https://doi.org/10.1007/s13347-022-00571-x</w:t>
        </w:r>
      </w:hyperlink>
      <w:r w:rsidDel="00000000" w:rsidR="00000000" w:rsidRPr="00000000">
        <w:rPr>
          <w:rFonts w:ascii="Times New Roman" w:cs="Times New Roman" w:eastAsia="Times New Roman" w:hAnsi="Times New Roman"/>
          <w:sz w:val="20"/>
          <w:szCs w:val="20"/>
          <w:rtl w:val="0"/>
        </w:rPr>
        <w:t xml:space="preserve">; Gaeta, Paola. 2024. “Who Acts When Autonomous Weapons Strike?” </w:t>
      </w:r>
      <w:r w:rsidDel="00000000" w:rsidR="00000000" w:rsidRPr="00000000">
        <w:rPr>
          <w:rFonts w:ascii="Times New Roman" w:cs="Times New Roman" w:eastAsia="Times New Roman" w:hAnsi="Times New Roman"/>
          <w:i w:val="1"/>
          <w:iCs w:val="1"/>
          <w:sz w:val="20"/>
          <w:szCs w:val="20"/>
          <w:rtl w:val="0"/>
        </w:rPr>
        <w:t xml:space="preserve">Journal of International Criminal Justice</w:t>
      </w:r>
      <w:r w:rsidDel="00000000" w:rsidR="00000000" w:rsidRPr="00000000">
        <w:rPr>
          <w:rFonts w:ascii="Times New Roman" w:cs="Times New Roman" w:eastAsia="Times New Roman" w:hAnsi="Times New Roman"/>
          <w:sz w:val="20"/>
          <w:szCs w:val="20"/>
          <w:rtl w:val="0"/>
        </w:rPr>
        <w:t xml:space="preserve"> 21 (5). </w:t>
      </w:r>
      <w:hyperlink r:id="rId16">
        <w:r w:rsidDel="00000000" w:rsidR="00000000" w:rsidRPr="00000000">
          <w:rPr>
            <w:rFonts w:ascii="Times New Roman" w:cs="Times New Roman" w:eastAsia="Times New Roman" w:hAnsi="Times New Roman"/>
            <w:color w:val="1155cc"/>
            <w:sz w:val="20"/>
            <w:szCs w:val="20"/>
            <w:u w:val="single"/>
            <w:rtl w:val="0"/>
          </w:rPr>
          <w:t xml:space="preserve">https://doi.org/10.1093/jicj/mqae001</w:t>
        </w:r>
      </w:hyperlink>
      <w:r w:rsidDel="00000000" w:rsidR="00000000" w:rsidRPr="00000000">
        <w:rPr>
          <w:rFonts w:ascii="Times New Roman" w:cs="Times New Roman" w:eastAsia="Times New Roman" w:hAnsi="Times New Roman"/>
          <w:sz w:val="20"/>
          <w:szCs w:val="20"/>
          <w:rtl w:val="0"/>
        </w:rPr>
        <w:t xml:space="preserve">. ‌</w:t>
      </w:r>
    </w:p>
  </w:footnote>
  <w:footnote w:id="4">
    <w:p w:rsidR="00000000" w:rsidDel="00000000" w:rsidP="00000000" w:rsidRDefault="00000000" w:rsidRPr="00000000" w14:paraId="0000005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Hummel, Kristina. 2020. “Engineered Pathogens and Unnatural Biological Weapons: The Future Threat of Synthetic Biology.” Combating Terrorism Center at West Point. August 31, 2020. </w:t>
      </w:r>
      <w:hyperlink r:id="rId17">
        <w:r w:rsidDel="00000000" w:rsidR="00000000" w:rsidRPr="00000000">
          <w:rPr>
            <w:rFonts w:ascii="Times New Roman" w:cs="Times New Roman" w:eastAsia="Times New Roman" w:hAnsi="Times New Roman"/>
            <w:color w:val="1155cc"/>
            <w:sz w:val="20"/>
            <w:szCs w:val="20"/>
            <w:u w:val="single"/>
            <w:rtl w:val="0"/>
          </w:rPr>
          <w:t xml:space="preserve">https://ctc.westpoint.edu/engineered-pathogens-and-unnatural-biological-weapons-the-future-threat-of-synthetic-biology/</w:t>
        </w:r>
      </w:hyperlink>
      <w:r w:rsidDel="00000000" w:rsidR="00000000" w:rsidRPr="00000000">
        <w:rPr>
          <w:rFonts w:ascii="Times New Roman" w:cs="Times New Roman" w:eastAsia="Times New Roman" w:hAnsi="Times New Roman"/>
          <w:sz w:val="20"/>
          <w:szCs w:val="20"/>
          <w:rtl w:val="0"/>
        </w:rPr>
        <w:t xml:space="preserve">. </w:t>
      </w:r>
    </w:p>
  </w:footnote>
  <w:footnote w:id="12">
    <w:p w:rsidR="00000000" w:rsidDel="00000000" w:rsidP="00000000" w:rsidRDefault="00000000" w:rsidRPr="00000000" w14:paraId="0000005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Meyer, Jon’a F, n.d., “Retributive Justice - History of Retribution,” </w:t>
      </w:r>
      <w:r w:rsidDel="00000000" w:rsidR="00000000" w:rsidRPr="00000000">
        <w:rPr>
          <w:rFonts w:ascii="Times New Roman" w:cs="Times New Roman" w:eastAsia="Times New Roman" w:hAnsi="Times New Roman"/>
          <w:i w:val="1"/>
          <w:iCs w:val="1"/>
          <w:sz w:val="20"/>
          <w:szCs w:val="20"/>
          <w:rtl w:val="0"/>
        </w:rPr>
        <w:t xml:space="preserve">Encyclopedia Britannica</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sz w:val="20"/>
          <w:szCs w:val="20"/>
          <w:rtl w:val="0"/>
        </w:rPr>
        <w:t xml:space="preserve"> </w:t>
      </w:r>
      <w:hyperlink r:id="rId18">
        <w:r w:rsidDel="00000000" w:rsidR="00000000" w:rsidRPr="00000000">
          <w:rPr>
            <w:rFonts w:ascii="Times New Roman" w:cs="Times New Roman" w:eastAsia="Times New Roman" w:hAnsi="Times New Roman"/>
            <w:color w:val="1155cc"/>
            <w:sz w:val="20"/>
            <w:szCs w:val="20"/>
            <w:u w:val="single"/>
            <w:rtl w:val="0"/>
          </w:rPr>
          <w:t xml:space="preserve">https://www.britannica.com/topic/retributive-justice/History-of-retribution</w:t>
        </w:r>
      </w:hyperlink>
      <w:r w:rsidDel="00000000" w:rsidR="00000000" w:rsidRPr="00000000">
        <w:rPr>
          <w:rFonts w:ascii="Times New Roman" w:cs="Times New Roman" w:eastAsia="Times New Roman" w:hAnsi="Times New Roman"/>
          <w:sz w:val="20"/>
          <w:szCs w:val="20"/>
          <w:rtl w:val="0"/>
        </w:rPr>
        <w:t xml:space="preserv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Iris Liao</w:t>
    </w:r>
  </w:p>
  <w:p w:rsidR="00000000" w:rsidDel="00000000" w:rsidP="00000000" w:rsidRDefault="00000000" w:rsidRPr="00000000" w14:paraId="0000004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Punishment: Its Justification and Practice</w:t>
    </w:r>
  </w:p>
  <w:p w:rsidR="00000000" w:rsidDel="00000000" w:rsidP="00000000" w:rsidRDefault="00000000" w:rsidRPr="00000000" w14:paraId="0000004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Jaime Edwards</w:t>
    </w:r>
  </w:p>
  <w:p w:rsidR="00000000" w:rsidDel="00000000" w:rsidP="00000000" w:rsidRDefault="00000000" w:rsidRPr="00000000" w14:paraId="0000004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Autumn 2024</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0"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header" Target="header2.xml"/></Relationships>
</file>

<file path=word/_rels/footnotes.xml.rels><?xml version="1.0" encoding="UTF-8" standalone="yes"?><Relationships xmlns="http://schemas.openxmlformats.org/package/2006/relationships"><Relationship Id="rId11" Type="http://schemas.openxmlformats.org/officeDocument/2006/relationships/hyperlink" Target="https://doi.org/10.1093/oso/9780195178135.003.0006" TargetMode="External"/><Relationship Id="rId10" Type="http://schemas.openxmlformats.org/officeDocument/2006/relationships/hyperlink" Target="http://www.jstor.org/stable/24572388" TargetMode="External"/><Relationship Id="rId13" Type="http://schemas.openxmlformats.org/officeDocument/2006/relationships/hyperlink" Target="https://doi.org/10.1111/j.1527-2001.2003.tb00779.x" TargetMode="External"/><Relationship Id="rId12" Type="http://schemas.openxmlformats.org/officeDocument/2006/relationships/hyperlink" Target="https://doi.org/10.1257/jel.40.2.351" TargetMode="External"/><Relationship Id="rId1" Type="http://schemas.openxmlformats.org/officeDocument/2006/relationships/hyperlink" Target="https://doi.org/10.1007/s00146-024-02004-z" TargetMode="External"/><Relationship Id="rId2" Type="http://schemas.openxmlformats.org/officeDocument/2006/relationships/hyperlink" Target="https://link-springer-com.proxy.uchicago.edu/book/10.1007/978-3-540-68677-4" TargetMode="External"/><Relationship Id="rId3" Type="http://schemas.openxmlformats.org/officeDocument/2006/relationships/hyperlink" Target="https://doi.org/10.48550/arxiv.2303.12712" TargetMode="External"/><Relationship Id="rId4" Type="http://schemas.openxmlformats.org/officeDocument/2006/relationships/hyperlink" Target="https://www.independent.co.uk/news/science/stephen-hawking-transcendence-looks-at-the-implications-of-artificial-intelligence-but-are-we-taking-ai-seriously-enough-9313474.html" TargetMode="External"/><Relationship Id="rId9" Type="http://schemas.openxmlformats.org/officeDocument/2006/relationships/hyperlink" Target="https://oversight.house.gov/release/mace-deepfakes-pose-real-dangers/" TargetMode="External"/><Relationship Id="rId15" Type="http://schemas.openxmlformats.org/officeDocument/2006/relationships/hyperlink" Target="https://doi.org/10.1007/s13347-022-00571-x" TargetMode="External"/><Relationship Id="rId14" Type="http://schemas.openxmlformats.org/officeDocument/2006/relationships/hyperlink" Target="https://doi.org/10.1111/1758-5899.12002" TargetMode="External"/><Relationship Id="rId17" Type="http://schemas.openxmlformats.org/officeDocument/2006/relationships/hyperlink" Target="https://ctc.westpoint.edu/engineered-pathogens-and-unnatural-biological-weapons-the-future-threat-of-synthetic-biology/" TargetMode="External"/><Relationship Id="rId16" Type="http://schemas.openxmlformats.org/officeDocument/2006/relationships/hyperlink" Target="https://doi.org/10.1093/jicj/mqae001" TargetMode="External"/><Relationship Id="rId5" Type="http://schemas.openxmlformats.org/officeDocument/2006/relationships/hyperlink" Target="https://mitsloan.mit.edu/ideas-made-to-matter/why-neural-net-pioneer-geoffrey-hinton-sounding-alarm-ai" TargetMode="External"/><Relationship Id="rId6" Type="http://schemas.openxmlformats.org/officeDocument/2006/relationships/hyperlink" Target="https://research.ibm.com/blog/what-is-alignment-ai" TargetMode="External"/><Relationship Id="rId18" Type="http://schemas.openxmlformats.org/officeDocument/2006/relationships/hyperlink" Target="https://www.britannica.com/topic/retributive-justice/History-of-retribution" TargetMode="External"/><Relationship Id="rId7" Type="http://schemas.openxmlformats.org/officeDocument/2006/relationships/hyperlink" Target="https://www.reuters.com/technology/china-sets-up-ai-standards-committee-global-tech-race-intensifies-2024-12-13/" TargetMode="External"/><Relationship Id="rId8" Type="http://schemas.openxmlformats.org/officeDocument/2006/relationships/hyperlink" Target="https://doi.org/10.1016/j.isci.2021.1033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